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75F78A">
      <w:pPr>
        <w:rPr>
          <w:rFonts w:ascii="Arial" w:hAnsi="Arial" w:cs="Arial"/>
          <w:color w:val="000000"/>
        </w:rPr>
      </w:pPr>
      <w:bookmarkStart w:id="0" w:name="_Hlk196229549"/>
      <w:bookmarkEnd w:id="0"/>
      <w:r>
        <w:rPr>
          <w:rFonts w:ascii="Arial" w:hAnsi="Arial" w:cs="Arial"/>
          <w:color w:val="000000"/>
        </w:rPr>
        <mc:AlternateContent>
          <mc:Choice Requires="wps">
            <w:drawing>
              <wp:anchor distT="0" distB="0" distL="114300" distR="114300" simplePos="0" relativeHeight="251664384" behindDoc="0" locked="0" layoutInCell="1" allowOverlap="1">
                <wp:simplePos x="0" y="0"/>
                <wp:positionH relativeFrom="margin">
                  <wp:posOffset>3961765</wp:posOffset>
                </wp:positionH>
                <wp:positionV relativeFrom="margin">
                  <wp:posOffset>7917180</wp:posOffset>
                </wp:positionV>
                <wp:extent cx="1952625" cy="312420"/>
                <wp:effectExtent l="0" t="0" r="0" b="0"/>
                <wp:wrapNone/>
                <wp:docPr id="12" name="fmFrame6"/>
                <wp:cNvGraphicFramePr/>
                <a:graphic xmlns:a="http://schemas.openxmlformats.org/drawingml/2006/main">
                  <a:graphicData uri="http://schemas.microsoft.com/office/word/2010/wordprocessingShape">
                    <wps:wsp>
                      <wps:cNvSpPr txBox="1">
                        <a:spLocks noChangeArrowheads="1"/>
                      </wps:cNvSpPr>
                      <wps:spPr bwMode="auto">
                        <a:xfrm>
                          <a:off x="0" y="0"/>
                          <a:ext cx="1952625" cy="312420"/>
                        </a:xfrm>
                        <a:prstGeom prst="rect">
                          <a:avLst/>
                        </a:prstGeom>
                        <a:solidFill>
                          <a:srgbClr val="FFFFFF"/>
                        </a:solidFill>
                        <a:ln>
                          <a:noFill/>
                        </a:ln>
                      </wps:spPr>
                      <wps:txbx>
                        <w:txbxContent>
                          <w:p w14:paraId="5A8DDB50">
                            <w:pPr>
                              <w:pStyle w:val="49"/>
                            </w:pPr>
                            <w:r>
                              <w:rPr>
                                <w:rFonts w:hint="eastAsia" w:ascii="黑体"/>
                              </w:rPr>
                              <w:t>202X-XX-XX</w:t>
                            </w:r>
                            <w:r>
                              <w:rPr>
                                <w:rFonts w:hint="eastAsia"/>
                              </w:rPr>
                              <w:t>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11.95pt;margin-top:623.4pt;height:24.6pt;width:153.75pt;mso-position-horizontal-relative:margin;mso-position-vertical-relative:margin;z-index:251664384;mso-width-relative:page;mso-height-relative:page;" fillcolor="#FFFFFF" filled="t" stroked="f" coordsize="21600,21600" o:gfxdata="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OLNsr/aAAAADQEAAA8AAAAAAAAA&#10;AQAgAAAAIgAAAGRycy9kb3ducmV2LnhtbFBLAQIUABQAAAAIAIdO4kBksbg/DwIAACwEAAAOAAAA&#10;AAAAAAEAIAAAACkBAABkcnMvZTJvRG9jLnhtbFBLBQYAAAAABgAGAFkBAACqBQAAAAA=&#10;">
                <v:fill on="t" focussize="0,0"/>
                <v:stroke on="f"/>
                <v:imagedata o:title=""/>
                <o:lock v:ext="edit" aspectratio="f"/>
                <v:textbox inset="0mm,0mm,0mm,0mm">
                  <w:txbxContent>
                    <w:p w14:paraId="5A8DDB50">
                      <w:pPr>
                        <w:pStyle w:val="49"/>
                      </w:pPr>
                      <w:r>
                        <w:rPr>
                          <w:rFonts w:hint="eastAsia" w:ascii="黑体"/>
                        </w:rPr>
                        <w:t>202X-XX-XX</w:t>
                      </w:r>
                      <w:r>
                        <w:rPr>
                          <w:rFonts w:hint="eastAsia"/>
                        </w:rPr>
                        <w:t>实施</w:t>
                      </w:r>
                    </w:p>
                  </w:txbxContent>
                </v:textbox>
              </v:shape>
            </w:pict>
          </mc:Fallback>
        </mc:AlternateContent>
      </w:r>
      <w:r>
        <w:rPr>
          <w:rFonts w:ascii="Arial" w:hAnsi="Arial" w:cs="Arial"/>
          <w:color w:val="000000"/>
        </w:rPr>
        <mc:AlternateContent>
          <mc:Choice Requires="wps">
            <w:drawing>
              <wp:anchor distT="0" distB="0" distL="114300" distR="114300" simplePos="0" relativeHeight="251665408" behindDoc="0" locked="0" layoutInCell="1" allowOverlap="1">
                <wp:simplePos x="0" y="0"/>
                <wp:positionH relativeFrom="column">
                  <wp:posOffset>-140335</wp:posOffset>
                </wp:positionH>
                <wp:positionV relativeFrom="paragraph">
                  <wp:posOffset>8123555</wp:posOffset>
                </wp:positionV>
                <wp:extent cx="6121400" cy="0"/>
                <wp:effectExtent l="0" t="0" r="0" b="0"/>
                <wp:wrapNone/>
                <wp:docPr id="11" name="Line 3675"/>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wps:spPr>
                      <wps:bodyPr/>
                    </wps:wsp>
                  </a:graphicData>
                </a:graphic>
              </wp:anchor>
            </w:drawing>
          </mc:Choice>
          <mc:Fallback>
            <w:pict>
              <v:line id="Line 3675" o:spid="_x0000_s1026" o:spt="20" style="position:absolute;left:0pt;margin-left:-11.05pt;margin-top:639.65pt;height:0pt;width:482pt;z-index:251665408;mso-width-relative:page;mso-height-relative:page;" filled="f" stroked="t" coordsize="21600,21600" o:gfxdata="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C39J+tgAAAANAQAADwAAAAAAAAABACAAAAAiAAAAZHJz&#10;L2Rvd25yZXYueG1sUEsBAhQAFAAAAAgAh07iQHZP4ofLAQAApAMAAA4AAAAAAAAAAQAgAAAAJwEA&#10;AGRycy9lMm9Eb2MueG1sUEsFBgAAAAAGAAYAWQEAAGQFAAAAAA==&#10;">
                <v:fill on="f" focussize="0,0"/>
                <v:stroke weight="1pt" color="#FFFFFF" joinstyle="round"/>
                <v:imagedata o:title=""/>
                <o:lock v:ext="edit" aspectratio="f"/>
              </v:line>
            </w:pict>
          </mc:Fallback>
        </mc:AlternateContent>
      </w:r>
      <w:r>
        <w:rPr>
          <w:rFonts w:ascii="Arial" w:hAnsi="Arial" w:cs="Arial"/>
          <w:color w:val="000000"/>
        </w:rPr>
        <mc:AlternateContent>
          <mc:Choice Requires="wps">
            <w:drawing>
              <wp:anchor distT="0" distB="0" distL="114300" distR="114300" simplePos="0" relativeHeight="251663360" behindDoc="0" locked="0" layoutInCell="1" allowOverlap="1">
                <wp:simplePos x="0" y="0"/>
                <wp:positionH relativeFrom="margin">
                  <wp:posOffset>-111760</wp:posOffset>
                </wp:positionH>
                <wp:positionV relativeFrom="margin">
                  <wp:posOffset>7917180</wp:posOffset>
                </wp:positionV>
                <wp:extent cx="2019300" cy="312420"/>
                <wp:effectExtent l="0" t="0" r="0" b="0"/>
                <wp:wrapNone/>
                <wp:docPr id="10"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5FDA749E">
                            <w:pPr>
                              <w:pStyle w:val="48"/>
                              <w:rPr>
                                <w:rFonts w:ascii="黑体"/>
                              </w:rPr>
                            </w:pPr>
                            <w:r>
                              <w:rPr>
                                <w:rFonts w:hint="eastAsia" w:ascii="黑体"/>
                              </w:rPr>
                              <w:t>202X-XX-XX发布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8.8pt;margin-top:623.4pt;height:24.6pt;width:159pt;mso-position-horizontal-relative:margin;mso-position-vertical-relative:margin;z-index:251663360;mso-width-relative:page;mso-height-relative:page;" fillcolor="#FFFFFF" filled="t" stroked="f" coordsize="21600,21600" o:gfxdata="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YsKVvdoAAAANAQAADwAAAAAAAAAB&#10;ACAAAAAiAAAAZHJzL2Rvd25yZXYueG1sUEsBAhQAFAAAAAgAh07iQMoyqd8OAgAALAQAAA4AAAAA&#10;AAAAAQAgAAAAKQEAAGRycy9lMm9Eb2MueG1sUEsFBgAAAAAGAAYAWQEAAKkFAAAAAA==&#10;">
                <v:fill on="t" focussize="0,0"/>
                <v:stroke on="f"/>
                <v:imagedata o:title=""/>
                <o:lock v:ext="edit" aspectratio="f"/>
                <v:textbox inset="0mm,0mm,0mm,0mm">
                  <w:txbxContent>
                    <w:p w14:paraId="5FDA749E">
                      <w:pPr>
                        <w:pStyle w:val="48"/>
                        <w:rPr>
                          <w:rFonts w:ascii="黑体"/>
                        </w:rPr>
                      </w:pPr>
                      <w:r>
                        <w:rPr>
                          <w:rFonts w:hint="eastAsia" w:ascii="黑体"/>
                        </w:rPr>
                        <w:t>202X-XX-XX发布</w:t>
                      </w:r>
                    </w:p>
                  </w:txbxContent>
                </v:textbox>
              </v:shape>
            </w:pict>
          </mc:Fallback>
        </mc:AlternateContent>
      </w:r>
      <w:r>
        <w:rPr>
          <w:rFonts w:ascii="Arial" w:hAnsi="Arial" w:cs="Arial"/>
          <w:color w:val="000000"/>
        </w:rPr>
        <mc:AlternateContent>
          <mc:Choice Requires="wps">
            <w:drawing>
              <wp:anchor distT="0" distB="0" distL="114300" distR="114300" simplePos="0" relativeHeight="251661312" behindDoc="0" locked="0" layoutInCell="1" allowOverlap="1">
                <wp:simplePos x="0" y="0"/>
                <wp:positionH relativeFrom="margin">
                  <wp:posOffset>364490</wp:posOffset>
                </wp:positionH>
                <wp:positionV relativeFrom="margin">
                  <wp:posOffset>1005205</wp:posOffset>
                </wp:positionV>
                <wp:extent cx="5802630" cy="641350"/>
                <wp:effectExtent l="0" t="0" r="0" b="0"/>
                <wp:wrapNone/>
                <wp:docPr id="7" name="fmFrame3"/>
                <wp:cNvGraphicFramePr/>
                <a:graphic xmlns:a="http://schemas.openxmlformats.org/drawingml/2006/main">
                  <a:graphicData uri="http://schemas.microsoft.com/office/word/2010/wordprocessingShape">
                    <wps:wsp>
                      <wps:cNvSpPr txBox="1">
                        <a:spLocks noChangeArrowheads="1"/>
                      </wps:cNvSpPr>
                      <wps:spPr bwMode="auto">
                        <a:xfrm>
                          <a:off x="0" y="0"/>
                          <a:ext cx="5802630" cy="641350"/>
                        </a:xfrm>
                        <a:prstGeom prst="rect">
                          <a:avLst/>
                        </a:prstGeom>
                        <a:solidFill>
                          <a:srgbClr val="FFFFFF"/>
                        </a:solidFill>
                        <a:ln>
                          <a:noFill/>
                        </a:ln>
                      </wps:spPr>
                      <wps:txbx>
                        <w:txbxContent>
                          <w:p w14:paraId="7C3A360D">
                            <w:pPr>
                              <w:pStyle w:val="44"/>
                              <w:wordWrap w:val="0"/>
                              <w:ind w:right="280"/>
                              <w:rPr>
                                <w:rFonts w:hint="eastAsia" w:ascii="黑体" w:hAnsi="宋体" w:eastAsia="黑体"/>
                                <w:color w:val="000000"/>
                                <w:lang w:eastAsia="zh-CN"/>
                              </w:rPr>
                            </w:pPr>
                            <w:r>
                              <w:rPr>
                                <w:rFonts w:ascii="黑体" w:eastAsia="黑体"/>
                                <w:color w:val="000000"/>
                              </w:rPr>
                              <w:t xml:space="preserve">T/BIAIM  </w:t>
                            </w:r>
                            <w:r>
                              <w:rPr>
                                <w:rFonts w:hint="eastAsia" w:ascii="黑体" w:eastAsia="黑体"/>
                                <w:color w:val="000000"/>
                              </w:rPr>
                              <w:t>00</w:t>
                            </w:r>
                            <w:r>
                              <w:rPr>
                                <w:rFonts w:hint="eastAsia" w:ascii="黑体" w:eastAsia="黑体"/>
                                <w:color w:val="000000"/>
                                <w:lang w:val="en-US" w:eastAsia="zh-CN"/>
                              </w:rPr>
                              <w:t>06</w:t>
                            </w:r>
                            <w:r>
                              <w:rPr>
                                <w:rFonts w:ascii="黑体" w:eastAsia="黑体"/>
                                <w:color w:val="000000"/>
                              </w:rPr>
                              <w:t>-20</w:t>
                            </w:r>
                            <w:r>
                              <w:rPr>
                                <w:rFonts w:hint="eastAsia" w:ascii="黑体" w:eastAsia="黑体"/>
                                <w:color w:val="000000"/>
                              </w:rPr>
                              <w:t>2</w:t>
                            </w:r>
                            <w:r>
                              <w:rPr>
                                <w:rFonts w:hint="eastAsia" w:ascii="黑体" w:eastAsia="黑体"/>
                                <w:color w:val="000000"/>
                                <w:lang w:val="en-US" w:eastAsia="zh-CN"/>
                              </w:rPr>
                              <w:t>6</w:t>
                            </w:r>
                          </w:p>
                          <w:p w14:paraId="60387ABF">
                            <w:pPr>
                              <w:pStyle w:val="44"/>
                              <w:ind w:right="280"/>
                              <w:rPr>
                                <w:rFonts w:hint="eastAsia" w:ascii="黑体" w:hAnsi="宋体" w:eastAsia="黑体"/>
                                <w:color w:val="000000"/>
                              </w:rPr>
                            </w:pPr>
                          </w:p>
                          <w:p w14:paraId="71C9CC1F">
                            <w:pPr>
                              <w:pStyle w:val="44"/>
                              <w:wordWrap w:val="0"/>
                              <w:ind w:right="280"/>
                              <w:rPr>
                                <w:rFonts w:hint="eastAsia" w:ascii="黑体" w:hAnsi="宋体" w:eastAsia="黑体"/>
                                <w:color w:val="000000"/>
                              </w:rPr>
                            </w:pPr>
                          </w:p>
                          <w:p w14:paraId="65A8C030">
                            <w:pPr>
                              <w:pStyle w:val="44"/>
                              <w:ind w:right="280"/>
                              <w:rPr>
                                <w:rFonts w:ascii="黑体" w:eastAsia="黑体"/>
                                <w:color w:val="000000"/>
                              </w:rPr>
                            </w:pPr>
                          </w:p>
                        </w:txbxContent>
                      </wps:txbx>
                      <wps:bodyPr rot="0" vert="horz" wrap="square" lIns="0" tIns="0" rIns="0" bIns="0" anchor="t" anchorCtr="0" upright="1">
                        <a:noAutofit/>
                      </wps:bodyPr>
                    </wps:wsp>
                  </a:graphicData>
                </a:graphic>
              </wp:anchor>
            </w:drawing>
          </mc:Choice>
          <mc:Fallback>
            <w:pict>
              <v:shape id="fmFrame3" o:spid="_x0000_s1026" o:spt="202" type="#_x0000_t202" style="position:absolute;left:0pt;margin-left:28.7pt;margin-top:79.15pt;height:50.5pt;width:456.9pt;mso-position-horizontal-relative:margin;mso-position-vertical-relative:margin;z-index:251661312;mso-width-relative:page;mso-height-relative:page;" fillcolor="#FFFFFF" filled="t" stroked="f" coordsize="21600,21600" o:gfxdata="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fgBpz2gAAAAoBAAAPAAAAAAAA&#10;AAEAIAAAACIAAABkcnMvZG93bnJldi54bWxQSwECFAAUAAAACACHTuJAM2iJNxACAAArBAAADgAA&#10;AAAAAAABACAAAAApAQAAZHJzL2Uyb0RvYy54bWxQSwUGAAAAAAYABgBZAQAAqwUAAAAA&#10;">
                <v:fill on="t" focussize="0,0"/>
                <v:stroke on="f"/>
                <v:imagedata o:title=""/>
                <o:lock v:ext="edit" aspectratio="f"/>
                <v:textbox inset="0mm,0mm,0mm,0mm">
                  <w:txbxContent>
                    <w:p w14:paraId="7C3A360D">
                      <w:pPr>
                        <w:pStyle w:val="44"/>
                        <w:wordWrap w:val="0"/>
                        <w:ind w:right="280"/>
                        <w:rPr>
                          <w:rFonts w:hint="eastAsia" w:ascii="黑体" w:hAnsi="宋体" w:eastAsia="黑体"/>
                          <w:color w:val="000000"/>
                          <w:lang w:eastAsia="zh-CN"/>
                        </w:rPr>
                      </w:pPr>
                      <w:r>
                        <w:rPr>
                          <w:rFonts w:ascii="黑体" w:eastAsia="黑体"/>
                          <w:color w:val="000000"/>
                        </w:rPr>
                        <w:t xml:space="preserve">T/BIAIM  </w:t>
                      </w:r>
                      <w:r>
                        <w:rPr>
                          <w:rFonts w:hint="eastAsia" w:ascii="黑体" w:eastAsia="黑体"/>
                          <w:color w:val="000000"/>
                        </w:rPr>
                        <w:t>00</w:t>
                      </w:r>
                      <w:r>
                        <w:rPr>
                          <w:rFonts w:hint="eastAsia" w:ascii="黑体" w:eastAsia="黑体"/>
                          <w:color w:val="000000"/>
                          <w:lang w:val="en-US" w:eastAsia="zh-CN"/>
                        </w:rPr>
                        <w:t>06</w:t>
                      </w:r>
                      <w:r>
                        <w:rPr>
                          <w:rFonts w:ascii="黑体" w:eastAsia="黑体"/>
                          <w:color w:val="000000"/>
                        </w:rPr>
                        <w:t>-20</w:t>
                      </w:r>
                      <w:r>
                        <w:rPr>
                          <w:rFonts w:hint="eastAsia" w:ascii="黑体" w:eastAsia="黑体"/>
                          <w:color w:val="000000"/>
                        </w:rPr>
                        <w:t>2</w:t>
                      </w:r>
                      <w:r>
                        <w:rPr>
                          <w:rFonts w:hint="eastAsia" w:ascii="黑体" w:eastAsia="黑体"/>
                          <w:color w:val="000000"/>
                          <w:lang w:val="en-US" w:eastAsia="zh-CN"/>
                        </w:rPr>
                        <w:t>6</w:t>
                      </w:r>
                    </w:p>
                    <w:p w14:paraId="60387ABF">
                      <w:pPr>
                        <w:pStyle w:val="44"/>
                        <w:ind w:right="280"/>
                        <w:rPr>
                          <w:rFonts w:hint="eastAsia" w:ascii="黑体" w:hAnsi="宋体" w:eastAsia="黑体"/>
                          <w:color w:val="000000"/>
                        </w:rPr>
                      </w:pPr>
                    </w:p>
                    <w:p w14:paraId="71C9CC1F">
                      <w:pPr>
                        <w:pStyle w:val="44"/>
                        <w:wordWrap w:val="0"/>
                        <w:ind w:right="280"/>
                        <w:rPr>
                          <w:rFonts w:hint="eastAsia" w:ascii="黑体" w:hAnsi="宋体" w:eastAsia="黑体"/>
                          <w:color w:val="000000"/>
                        </w:rPr>
                      </w:pPr>
                    </w:p>
                    <w:p w14:paraId="65A8C030">
                      <w:pPr>
                        <w:pStyle w:val="44"/>
                        <w:ind w:right="280"/>
                        <w:rPr>
                          <w:rFonts w:ascii="黑体" w:eastAsia="黑体"/>
                          <w:color w:val="000000"/>
                        </w:rPr>
                      </w:pPr>
                    </w:p>
                  </w:txbxContent>
                </v:textbox>
              </v:shape>
            </w:pict>
          </mc:Fallback>
        </mc:AlternateContent>
      </w:r>
      <w:r>
        <w:rPr>
          <w:rFonts w:ascii="Arial" w:hAnsi="Arial" w:cs="Arial"/>
          <w:color w:val="000000"/>
        </w:rPr>
        <mc:AlternateContent>
          <mc:Choice Requires="wps">
            <w:drawing>
              <wp:anchor distT="0" distB="0" distL="114300" distR="114300" simplePos="0" relativeHeight="251660288" behindDoc="0" locked="0" layoutInCell="1" allowOverlap="1">
                <wp:simplePos x="0" y="0"/>
                <wp:positionH relativeFrom="margin">
                  <wp:posOffset>-102235</wp:posOffset>
                </wp:positionH>
                <wp:positionV relativeFrom="margin">
                  <wp:posOffset>595630</wp:posOffset>
                </wp:positionV>
                <wp:extent cx="6120130" cy="391160"/>
                <wp:effectExtent l="0" t="0" r="0" b="0"/>
                <wp:wrapNone/>
                <wp:docPr id="6" name="fmFrame2"/>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164B05E9">
                            <w:pPr>
                              <w:pStyle w:val="45"/>
                            </w:pPr>
                            <w:r>
                              <w:rPr>
                                <w:rFonts w:hint="eastAsia"/>
                              </w:rPr>
                              <w:t>团体标准</w:t>
                            </w:r>
                          </w:p>
                        </w:txbxContent>
                      </wps:txbx>
                      <wps:bodyPr rot="0" vert="horz" wrap="square" lIns="0" tIns="0" rIns="0" bIns="0" anchor="t" anchorCtr="0" upright="1">
                        <a:noAutofit/>
                      </wps:bodyPr>
                    </wps:wsp>
                  </a:graphicData>
                </a:graphic>
              </wp:anchor>
            </w:drawing>
          </mc:Choice>
          <mc:Fallback>
            <w:pict>
              <v:shape id="fmFrame2" o:spid="_x0000_s1026" o:spt="202" type="#_x0000_t202" style="position:absolute;left:0pt;margin-left:-8.05pt;margin-top:46.9pt;height:30.8pt;width:481.9pt;mso-position-horizontal-relative:margin;mso-position-vertical-relative:margin;z-index:251660288;mso-width-relative:page;mso-height-relative:page;" fillcolor="#FFFFFF" filled="t" stroked="f" coordsize="21600,21600" o:gfxdata="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0yCTP2QAAAAoBAAAPAAAAAAAAAAEA&#10;IAAAACIAAABkcnMvZG93bnJldi54bWxQSwECFAAUAAAACACHTuJAB5em5g4CAAArBAAADgAAAAAA&#10;AAABACAAAAAoAQAAZHJzL2Uyb0RvYy54bWxQSwUGAAAAAAYABgBZAQAAqAUAAAAA&#10;">
                <v:fill on="t" focussize="0,0"/>
                <v:stroke on="f"/>
                <v:imagedata o:title=""/>
                <o:lock v:ext="edit" aspectratio="f"/>
                <v:textbox inset="0mm,0mm,0mm,0mm">
                  <w:txbxContent>
                    <w:p w14:paraId="164B05E9">
                      <w:pPr>
                        <w:pStyle w:val="45"/>
                      </w:pPr>
                      <w:r>
                        <w:rPr>
                          <w:rFonts w:hint="eastAsia"/>
                        </w:rPr>
                        <w:t>团体标准</w:t>
                      </w:r>
                    </w:p>
                  </w:txbxContent>
                </v:textbox>
              </v:shape>
            </w:pict>
          </mc:Fallback>
        </mc:AlternateContent>
      </w:r>
      <w:r>
        <w:rPr>
          <w:rFonts w:ascii="Arial" w:hAnsi="Arial" w:cs="Arial"/>
          <w:color w:val="000000"/>
        </w:rPr>
        <mc:AlternateContent>
          <mc:Choice Requires="wps">
            <w:drawing>
              <wp:anchor distT="0" distB="0" distL="114300" distR="114300" simplePos="0" relativeHeight="251659264" behindDoc="0" locked="0" layoutInCell="1" allowOverlap="1">
                <wp:simplePos x="0" y="0"/>
                <wp:positionH relativeFrom="margin">
                  <wp:posOffset>31115</wp:posOffset>
                </wp:positionH>
                <wp:positionV relativeFrom="margin">
                  <wp:posOffset>-405765</wp:posOffset>
                </wp:positionV>
                <wp:extent cx="2540000" cy="657860"/>
                <wp:effectExtent l="0" t="0" r="0" b="0"/>
                <wp:wrapNone/>
                <wp:docPr id="5" name="fmFrame1"/>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2D3B74FC">
                            <w:pPr>
                              <w:pStyle w:val="52"/>
                              <w:rPr>
                                <w:rFonts w:hint="eastAsia" w:ascii="黑体" w:hAnsi="宋体"/>
                              </w:rPr>
                            </w:pPr>
                            <w:r>
                              <w:rPr>
                                <w:rFonts w:hint="eastAsia" w:ascii="黑体" w:hAnsi="宋体"/>
                              </w:rPr>
                              <w:t xml:space="preserve">ICS </w:t>
                            </w:r>
                            <w:r>
                              <w:rPr>
                                <w:rFonts w:ascii="黑体" w:hAnsi="宋体"/>
                              </w:rPr>
                              <w:t>35.240.50</w:t>
                            </w:r>
                          </w:p>
                          <w:p w14:paraId="5D03B180">
                            <w:pPr>
                              <w:pStyle w:val="52"/>
                              <w:rPr>
                                <w:rFonts w:hint="eastAsia" w:ascii="黑体" w:hAnsi="宋体"/>
                              </w:rPr>
                            </w:pPr>
                            <w:r>
                              <w:rPr>
                                <w:rFonts w:hint="eastAsia" w:ascii="黑体" w:hAnsi="宋体"/>
                              </w:rPr>
                              <w:t xml:space="preserve">J </w:t>
                            </w:r>
                            <w:r>
                              <w:rPr>
                                <w:rFonts w:ascii="黑体" w:hAnsi="宋体"/>
                              </w:rPr>
                              <w:t>07</w:t>
                            </w:r>
                          </w:p>
                        </w:txbxContent>
                      </wps:txbx>
                      <wps:bodyPr rot="0" vert="horz" wrap="square" lIns="0" tIns="0" rIns="0" bIns="0" anchor="t" anchorCtr="0" upright="1">
                        <a:noAutofit/>
                      </wps:bodyPr>
                    </wps:wsp>
                  </a:graphicData>
                </a:graphic>
              </wp:anchor>
            </w:drawing>
          </mc:Choice>
          <mc:Fallback>
            <w:pict>
              <v:shape id="fmFrame1" o:spid="_x0000_s1026" o:spt="202" type="#_x0000_t202" style="position:absolute;left:0pt;margin-left:2.45pt;margin-top:-31.95pt;height:51.8pt;width:200pt;mso-position-horizontal-relative:margin;mso-position-vertical-relative:margin;z-index:251659264;mso-width-relative:page;mso-height-relative:page;" fillcolor="#FFFFFF" filled="t" stroked="f" coordsize="21600,21600" o:gfxdata="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sLeVJ2AAAAAgBAAAPAAAAAAAAAAEA&#10;IAAAACIAAABkcnMvZG93bnJldi54bWxQSwECFAAUAAAACACHTuJAV2TyFQ8CAAArBAAADgAAAAAA&#10;AAABACAAAAAnAQAAZHJzL2Uyb0RvYy54bWxQSwUGAAAAAAYABgBZAQAAqAUAAAAA&#10;">
                <v:fill on="t" focussize="0,0"/>
                <v:stroke on="f"/>
                <v:imagedata o:title=""/>
                <o:lock v:ext="edit" aspectratio="f"/>
                <v:textbox inset="0mm,0mm,0mm,0mm">
                  <w:txbxContent>
                    <w:p w14:paraId="2D3B74FC">
                      <w:pPr>
                        <w:pStyle w:val="52"/>
                        <w:rPr>
                          <w:rFonts w:hint="eastAsia" w:ascii="黑体" w:hAnsi="宋体"/>
                        </w:rPr>
                      </w:pPr>
                      <w:r>
                        <w:rPr>
                          <w:rFonts w:hint="eastAsia" w:ascii="黑体" w:hAnsi="宋体"/>
                        </w:rPr>
                        <w:t xml:space="preserve">ICS </w:t>
                      </w:r>
                      <w:r>
                        <w:rPr>
                          <w:rFonts w:ascii="黑体" w:hAnsi="宋体"/>
                        </w:rPr>
                        <w:t>35.240.50</w:t>
                      </w:r>
                    </w:p>
                    <w:p w14:paraId="5D03B180">
                      <w:pPr>
                        <w:pStyle w:val="52"/>
                        <w:rPr>
                          <w:rFonts w:hint="eastAsia" w:ascii="黑体" w:hAnsi="宋体"/>
                        </w:rPr>
                      </w:pPr>
                      <w:r>
                        <w:rPr>
                          <w:rFonts w:hint="eastAsia" w:ascii="黑体" w:hAnsi="宋体"/>
                        </w:rPr>
                        <w:t xml:space="preserve">J </w:t>
                      </w:r>
                      <w:r>
                        <w:rPr>
                          <w:rFonts w:ascii="黑体" w:hAnsi="宋体"/>
                        </w:rPr>
                        <w:t>07</w:t>
                      </w:r>
                    </w:p>
                  </w:txbxContent>
                </v:textbox>
              </v:shape>
            </w:pict>
          </mc:Fallback>
        </mc:AlternateContent>
      </w:r>
    </w:p>
    <w:p w14:paraId="6EA65A46">
      <w:pPr>
        <w:pStyle w:val="14"/>
        <w:rPr>
          <w:rFonts w:ascii="Arial" w:hAnsi="Arial" w:cs="Arial"/>
          <w:color w:val="000000"/>
          <w:kern w:val="0"/>
        </w:rPr>
        <w:sectPr>
          <w:headerReference r:id="rId5" w:type="first"/>
          <w:footerReference r:id="rId8" w:type="first"/>
          <w:headerReference r:id="rId3" w:type="default"/>
          <w:footerReference r:id="rId6" w:type="default"/>
          <w:headerReference r:id="rId4" w:type="even"/>
          <w:footerReference r:id="rId7" w:type="even"/>
          <w:pgSz w:w="11907" w:h="16840"/>
          <w:pgMar w:top="1418" w:right="1134" w:bottom="1134" w:left="1418" w:header="1418" w:footer="851" w:gutter="0"/>
          <w:pgNumType w:fmt="upperRoman" w:start="1"/>
          <w:cols w:space="720" w:num="1"/>
          <w:docGrid w:linePitch="312" w:charSpace="0"/>
        </w:sectPr>
      </w:pPr>
      <w:r>
        <w:rPr>
          <w:rFonts w:ascii="Arial" w:hAnsi="Arial" w:cs="Arial"/>
          <w:color w:val="000000"/>
        </w:rPr>
        <mc:AlternateContent>
          <mc:Choice Requires="wps">
            <w:drawing>
              <wp:anchor distT="0" distB="0" distL="114300" distR="114300" simplePos="0" relativeHeight="251670528" behindDoc="0" locked="0" layoutInCell="1" allowOverlap="1">
                <wp:simplePos x="0" y="0"/>
                <wp:positionH relativeFrom="column">
                  <wp:posOffset>-240665</wp:posOffset>
                </wp:positionH>
                <wp:positionV relativeFrom="paragraph">
                  <wp:posOffset>8075930</wp:posOffset>
                </wp:positionV>
                <wp:extent cx="6464935" cy="0"/>
                <wp:effectExtent l="12065" t="6350" r="9525" b="12700"/>
                <wp:wrapNone/>
                <wp:docPr id="876093393" name="直线 23"/>
                <wp:cNvGraphicFramePr/>
                <a:graphic xmlns:a="http://schemas.openxmlformats.org/drawingml/2006/main">
                  <a:graphicData uri="http://schemas.microsoft.com/office/word/2010/wordprocessingShape">
                    <wps:wsp>
                      <wps:cNvCnPr>
                        <a:cxnSpLocks noChangeShapeType="1"/>
                      </wps:cNvCnPr>
                      <wps:spPr bwMode="auto">
                        <a:xfrm>
                          <a:off x="0" y="0"/>
                          <a:ext cx="6464935" cy="0"/>
                        </a:xfrm>
                        <a:prstGeom prst="line">
                          <a:avLst/>
                        </a:prstGeom>
                        <a:noFill/>
                        <a:ln w="12700" cmpd="sng">
                          <a:solidFill>
                            <a:srgbClr val="000000"/>
                          </a:solidFill>
                          <a:round/>
                        </a:ln>
                      </wps:spPr>
                      <wps:bodyPr/>
                    </wps:wsp>
                  </a:graphicData>
                </a:graphic>
              </wp:anchor>
            </w:drawing>
          </mc:Choice>
          <mc:Fallback>
            <w:pict>
              <v:line id="直线 23" o:spid="_x0000_s1026" o:spt="20" style="position:absolute;left:0pt;margin-left:-18.95pt;margin-top:635.9pt;height:0pt;width:509.05pt;z-index:251670528;mso-width-relative:page;mso-height-relative:page;" filled="f" stroked="t" coordsize="21600,21600" o:gfxdata="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S6Q&#10;QNkAAAANAQAADwAAAAAAAAABACAAAAAiAAAAZHJzL2Rvd25yZXYueG1sUEsBAhQAFAAAAAgAh07i&#10;QGjDUVDoAQAAtgMAAA4AAAAAAAAAAQAgAAAAKAEAAGRycy9lMm9Eb2MueG1sUEsFBgAAAAAGAAYA&#10;WQEAAIIFAAAAAA==&#10;">
                <v:fill on="f" focussize="0,0"/>
                <v:stroke weight="1pt" color="#000000" joinstyle="round"/>
                <v:imagedata o:title=""/>
                <o:lock v:ext="edit" aspectratio="f"/>
              </v:line>
            </w:pict>
          </mc:Fallback>
        </mc:AlternateContent>
      </w:r>
      <w:r>
        <w:rPr>
          <w:rFonts w:ascii="Arial" w:hAnsi="Arial" w:cs="Arial"/>
          <w:color w:val="000000"/>
        </w:rPr>
        <mc:AlternateContent>
          <mc:Choice Requires="wps">
            <w:drawing>
              <wp:anchor distT="0" distB="0" distL="114300" distR="114300" simplePos="0" relativeHeight="251669504" behindDoc="0" locked="0" layoutInCell="1" allowOverlap="1">
                <wp:simplePos x="0" y="0"/>
                <wp:positionH relativeFrom="column">
                  <wp:posOffset>-38100</wp:posOffset>
                </wp:positionH>
                <wp:positionV relativeFrom="paragraph">
                  <wp:posOffset>1532890</wp:posOffset>
                </wp:positionV>
                <wp:extent cx="6121400" cy="0"/>
                <wp:effectExtent l="5080" t="6985" r="7620" b="12065"/>
                <wp:wrapNone/>
                <wp:docPr id="1912520576" name="直线 22"/>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3175" cmpd="sng">
                          <a:solidFill>
                            <a:srgbClr val="000000"/>
                          </a:solidFill>
                          <a:round/>
                        </a:ln>
                        <a:effectLst/>
                      </wps:spPr>
                      <wps:bodyPr/>
                    </wps:wsp>
                  </a:graphicData>
                </a:graphic>
              </wp:anchor>
            </w:drawing>
          </mc:Choice>
          <mc:Fallback>
            <w:pict>
              <v:line id="直线 22" o:spid="_x0000_s1026" o:spt="20" style="position:absolute;left:0pt;margin-left:-3pt;margin-top:120.7pt;height:0pt;width:482pt;z-index:251669504;mso-width-relative:page;mso-height-relative:page;" filled="f" stroked="t" coordsize="21600,21600" o:gfxdata="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u&#10;XeLv2AAAAAoBAAAPAAAAAAAAAAEAIAAAACIAAABkcnMvZG93bnJldi54bWxQSwECFAAUAAAACACH&#10;TuJA7vxjn+sBAADEAwAADgAAAAAAAAABACAAAAAnAQAAZHJzL2Uyb0RvYy54bWxQSwUGAAAAAAYA&#10;BgBZAQAAhAUAAAAA&#10;">
                <v:fill on="f" focussize="0,0"/>
                <v:stroke weight="0.25pt" color="#000000" joinstyle="round"/>
                <v:imagedata o:title=""/>
                <o:lock v:ext="edit" aspectratio="f"/>
              </v:line>
            </w:pict>
          </mc:Fallback>
        </mc:AlternateContent>
      </w:r>
      <w:r>
        <w:rPr>
          <w:rFonts w:ascii="Arial" w:hAnsi="Arial" w:cs="Arial"/>
          <w:color w:val="000000"/>
        </w:rPr>
        <mc:AlternateContent>
          <mc:Choice Requires="wps">
            <w:drawing>
              <wp:anchor distT="0" distB="0" distL="114300" distR="114300" simplePos="0" relativeHeight="251668480" behindDoc="0" locked="0" layoutInCell="1" allowOverlap="1">
                <wp:simplePos x="0" y="0"/>
                <wp:positionH relativeFrom="column">
                  <wp:posOffset>-190500</wp:posOffset>
                </wp:positionH>
                <wp:positionV relativeFrom="paragraph">
                  <wp:posOffset>1380490</wp:posOffset>
                </wp:positionV>
                <wp:extent cx="6121400" cy="0"/>
                <wp:effectExtent l="14605" t="6985" r="7620" b="12065"/>
                <wp:wrapNone/>
                <wp:docPr id="1240980400" name="直线 18"/>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FFFFFF"/>
                          </a:solidFill>
                          <a:round/>
                        </a:ln>
                      </wps:spPr>
                      <wps:bodyPr/>
                    </wps:wsp>
                  </a:graphicData>
                </a:graphic>
              </wp:anchor>
            </w:drawing>
          </mc:Choice>
          <mc:Fallback>
            <w:pict>
              <v:line id="直线 18" o:spid="_x0000_s1026" o:spt="20" style="position:absolute;left:0pt;margin-left:-15pt;margin-top:108.7pt;height:0pt;width:482pt;z-index:251668480;mso-width-relative:page;mso-height-relative:page;" filled="f" stroked="t" coordsize="21600,21600" o:gfxdata="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dG4udgAAAAL&#10;AQAADwAAAAAAAAABACAAAAAiAAAAZHJzL2Rvd25yZXYueG1sUEsBAhQAFAAAAAgAh07iQLjogxXj&#10;AQAAtwMAAA4AAAAAAAAAAQAgAAAAJwEAAGRycy9lMm9Eb2MueG1sUEsFBgAAAAAGAAYAWQEAAHwF&#10;AAAAAA==&#10;">
                <v:fill on="f" focussize="0,0"/>
                <v:stroke weight="1pt" color="#FFFFFF" joinstyle="round"/>
                <v:imagedata o:title=""/>
                <o:lock v:ext="edit" aspectratio="f"/>
              </v:line>
            </w:pict>
          </mc:Fallback>
        </mc:AlternateContent>
      </w:r>
      <w:r>
        <w:rPr>
          <w:rFonts w:ascii="Arial" w:hAnsi="Arial" w:cs="Arial"/>
          <w:color w:val="000000"/>
        </w:rPr>
        <mc:AlternateContent>
          <mc:Choice Requires="wps">
            <w:drawing>
              <wp:anchor distT="0" distB="0" distL="114300" distR="114300" simplePos="0" relativeHeight="251667456" behindDoc="0" locked="0" layoutInCell="1" allowOverlap="1">
                <wp:simplePos x="0" y="0"/>
                <wp:positionH relativeFrom="column">
                  <wp:posOffset>-240665</wp:posOffset>
                </wp:positionH>
                <wp:positionV relativeFrom="paragraph">
                  <wp:posOffset>8075930</wp:posOffset>
                </wp:positionV>
                <wp:extent cx="6464935" cy="0"/>
                <wp:effectExtent l="12065" t="6350" r="9525" b="12700"/>
                <wp:wrapNone/>
                <wp:docPr id="2061780615" name="直线 17"/>
                <wp:cNvGraphicFramePr/>
                <a:graphic xmlns:a="http://schemas.openxmlformats.org/drawingml/2006/main">
                  <a:graphicData uri="http://schemas.microsoft.com/office/word/2010/wordprocessingShape">
                    <wps:wsp>
                      <wps:cNvCnPr>
                        <a:cxnSpLocks noChangeShapeType="1"/>
                      </wps:cNvCnPr>
                      <wps:spPr bwMode="auto">
                        <a:xfrm>
                          <a:off x="0" y="0"/>
                          <a:ext cx="6464935" cy="0"/>
                        </a:xfrm>
                        <a:prstGeom prst="line">
                          <a:avLst/>
                        </a:prstGeom>
                        <a:noFill/>
                        <a:ln w="12700" cmpd="sng">
                          <a:solidFill>
                            <a:srgbClr val="FFFFFF"/>
                          </a:solidFill>
                          <a:round/>
                        </a:ln>
                      </wps:spPr>
                      <wps:bodyPr/>
                    </wps:wsp>
                  </a:graphicData>
                </a:graphic>
              </wp:anchor>
            </w:drawing>
          </mc:Choice>
          <mc:Fallback>
            <w:pict>
              <v:line id="直线 17" o:spid="_x0000_s1026" o:spt="20" style="position:absolute;left:0pt;margin-left:-18.95pt;margin-top:635.9pt;height:0pt;width:509.05pt;z-index:251667456;mso-width-relative:page;mso-height-relative:page;" filled="f" stroked="t" coordsize="21600,21600" o:gfxdata="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nXRzjY&#10;AAAADQEAAA8AAAAAAAAAAQAgAAAAIgAAAGRycy9kb3ducmV2LnhtbFBLAQIUABQAAAAIAIdO4kBE&#10;TTcO5wEAALcDAAAOAAAAAAAAAAEAIAAAACcBAABkcnMvZTJvRG9jLnhtbFBLBQYAAAAABgAGAFkB&#10;AACABQAAAAA=&#10;">
                <v:fill on="f" focussize="0,0"/>
                <v:stroke weight="1pt" color="#FFFFFF" joinstyle="round"/>
                <v:imagedata o:title=""/>
                <o:lock v:ext="edit" aspectratio="f"/>
              </v:line>
            </w:pict>
          </mc:Fallback>
        </mc:AlternateContent>
      </w:r>
      <w:r>
        <w:rPr>
          <w:rFonts w:ascii="Arial" w:hAnsi="Arial" w:cs="Arial"/>
          <w:color w:val="000000"/>
          <w:kern w:val="0"/>
        </w:rPr>
        <mc:AlternateContent>
          <mc:Choice Requires="wps">
            <w:drawing>
              <wp:anchor distT="0" distB="0" distL="114300" distR="114300" simplePos="0" relativeHeight="251666432" behindDoc="0" locked="0" layoutInCell="1" allowOverlap="1">
                <wp:simplePos x="0" y="0"/>
                <wp:positionH relativeFrom="margin">
                  <wp:posOffset>-140335</wp:posOffset>
                </wp:positionH>
                <wp:positionV relativeFrom="margin">
                  <wp:posOffset>8331200</wp:posOffset>
                </wp:positionV>
                <wp:extent cx="6364605" cy="485140"/>
                <wp:effectExtent l="0" t="0" r="0" b="0"/>
                <wp:wrapNone/>
                <wp:docPr id="3" name="fmFrame7"/>
                <wp:cNvGraphicFramePr/>
                <a:graphic xmlns:a="http://schemas.openxmlformats.org/drawingml/2006/main">
                  <a:graphicData uri="http://schemas.microsoft.com/office/word/2010/wordprocessingShape">
                    <wps:wsp>
                      <wps:cNvSpPr txBox="1">
                        <a:spLocks noChangeArrowheads="1"/>
                      </wps:cNvSpPr>
                      <wps:spPr bwMode="auto">
                        <a:xfrm>
                          <a:off x="0" y="0"/>
                          <a:ext cx="6364605" cy="485140"/>
                        </a:xfrm>
                        <a:prstGeom prst="rect">
                          <a:avLst/>
                        </a:prstGeom>
                        <a:solidFill>
                          <a:srgbClr val="FFFFFF"/>
                        </a:solidFill>
                        <a:ln>
                          <a:noFill/>
                        </a:ln>
                      </wps:spPr>
                      <wps:txbx>
                        <w:txbxContent>
                          <w:tbl>
                            <w:tblPr>
                              <w:tblStyle w:val="18"/>
                              <w:tblW w:w="0" w:type="auto"/>
                              <w:tblInd w:w="0" w:type="dxa"/>
                              <w:tblLayout w:type="fixed"/>
                              <w:tblCellMar>
                                <w:top w:w="0" w:type="dxa"/>
                                <w:left w:w="108" w:type="dxa"/>
                                <w:bottom w:w="0" w:type="dxa"/>
                                <w:right w:w="108" w:type="dxa"/>
                              </w:tblCellMar>
                            </w:tblPr>
                            <w:tblGrid>
                              <w:gridCol w:w="8900"/>
                              <w:gridCol w:w="1324"/>
                            </w:tblGrid>
                            <w:tr w14:paraId="3BE48B2B">
                              <w:tblPrEx>
                                <w:tblCellMar>
                                  <w:top w:w="0" w:type="dxa"/>
                                  <w:left w:w="108" w:type="dxa"/>
                                  <w:bottom w:w="0" w:type="dxa"/>
                                  <w:right w:w="108" w:type="dxa"/>
                                </w:tblCellMar>
                              </w:tblPrEx>
                              <w:trPr>
                                <w:cantSplit/>
                                <w:trHeight w:val="293" w:hRule="atLeast"/>
                              </w:trPr>
                              <w:tc>
                                <w:tcPr>
                                  <w:tcW w:w="8900" w:type="dxa"/>
                                  <w:vAlign w:val="center"/>
                                </w:tcPr>
                                <w:p w14:paraId="091AC9CA">
                                  <w:pPr>
                                    <w:pStyle w:val="51"/>
                                    <w:jc w:val="distribute"/>
                                    <w:rPr>
                                      <w:spacing w:val="-20"/>
                                      <w:sz w:val="28"/>
                                      <w:szCs w:val="28"/>
                                    </w:rPr>
                                  </w:pPr>
                                  <w:r>
                                    <w:rPr>
                                      <w:rFonts w:hint="eastAsia"/>
                                      <w:spacing w:val="-20"/>
                                      <w:sz w:val="28"/>
                                      <w:szCs w:val="28"/>
                                    </w:rPr>
                                    <w:t>北京智能制造创新联盟</w:t>
                                  </w:r>
                                </w:p>
                              </w:tc>
                              <w:tc>
                                <w:tcPr>
                                  <w:tcW w:w="1324" w:type="dxa"/>
                                  <w:vAlign w:val="center"/>
                                </w:tcPr>
                                <w:p w14:paraId="63BBEF9F">
                                  <w:pPr>
                                    <w:pStyle w:val="51"/>
                                    <w:rPr>
                                      <w:rFonts w:ascii="黑体" w:eastAsia="黑体"/>
                                      <w:sz w:val="28"/>
                                      <w:szCs w:val="28"/>
                                    </w:rPr>
                                  </w:pPr>
                                  <w:r>
                                    <w:rPr>
                                      <w:rFonts w:hint="eastAsia" w:ascii="黑体" w:eastAsia="黑体"/>
                                      <w:sz w:val="28"/>
                                      <w:szCs w:val="28"/>
                                    </w:rPr>
                                    <w:t xml:space="preserve">发布  </w:t>
                                  </w:r>
                                </w:p>
                              </w:tc>
                            </w:tr>
                          </w:tbl>
                          <w:p w14:paraId="49BBB362">
                            <w:pPr>
                              <w:pStyle w:val="51"/>
                              <w:spacing w:line="360" w:lineRule="exact"/>
                              <w:ind w:right="1088"/>
                              <w:jc w:val="both"/>
                              <w:rPr>
                                <w:b w:val="0"/>
                                <w:color w:val="000000"/>
                                <w:spacing w:val="54"/>
                                <w:sz w:val="44"/>
                                <w:szCs w:val="44"/>
                              </w:rPr>
                            </w:pP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11.05pt;margin-top:656pt;height:38.2pt;width:501.15pt;mso-position-horizontal-relative:margin;mso-position-vertical-relative:margin;z-index:251666432;mso-width-relative:page;mso-height-relative:page;" fillcolor="#FFFFFF" filled="t" stroked="f" coordsize="21600,21600" o:gfxdata="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eWwCAdoAAAANAQAADwAAAAAA&#10;AAABACAAAAAiAAAAZHJzL2Rvd25yZXYueG1sUEsBAhQAFAAAAAgAh07iQA8Ko64RAgAAKwQAAA4A&#10;AAAAAAAAAQAgAAAAKQEAAGRycy9lMm9Eb2MueG1sUEsFBgAAAAAGAAYAWQEAAKwFAAAAAA==&#10;">
                <v:fill on="t" focussize="0,0"/>
                <v:stroke on="f"/>
                <v:imagedata o:title=""/>
                <o:lock v:ext="edit" aspectratio="f"/>
                <v:textbox inset="0mm,0mm,0mm,0mm">
                  <w:txbxContent>
                    <w:tbl>
                      <w:tblPr>
                        <w:tblStyle w:val="18"/>
                        <w:tblW w:w="0" w:type="auto"/>
                        <w:tblInd w:w="0" w:type="dxa"/>
                        <w:tblLayout w:type="fixed"/>
                        <w:tblCellMar>
                          <w:top w:w="0" w:type="dxa"/>
                          <w:left w:w="108" w:type="dxa"/>
                          <w:bottom w:w="0" w:type="dxa"/>
                          <w:right w:w="108" w:type="dxa"/>
                        </w:tblCellMar>
                      </w:tblPr>
                      <w:tblGrid>
                        <w:gridCol w:w="8900"/>
                        <w:gridCol w:w="1324"/>
                      </w:tblGrid>
                      <w:tr w14:paraId="3BE48B2B">
                        <w:tblPrEx>
                          <w:tblCellMar>
                            <w:top w:w="0" w:type="dxa"/>
                            <w:left w:w="108" w:type="dxa"/>
                            <w:bottom w:w="0" w:type="dxa"/>
                            <w:right w:w="108" w:type="dxa"/>
                          </w:tblCellMar>
                        </w:tblPrEx>
                        <w:trPr>
                          <w:cantSplit/>
                          <w:trHeight w:val="293" w:hRule="atLeast"/>
                        </w:trPr>
                        <w:tc>
                          <w:tcPr>
                            <w:tcW w:w="8900" w:type="dxa"/>
                            <w:vAlign w:val="center"/>
                          </w:tcPr>
                          <w:p w14:paraId="091AC9CA">
                            <w:pPr>
                              <w:pStyle w:val="51"/>
                              <w:jc w:val="distribute"/>
                              <w:rPr>
                                <w:spacing w:val="-20"/>
                                <w:sz w:val="28"/>
                                <w:szCs w:val="28"/>
                              </w:rPr>
                            </w:pPr>
                            <w:r>
                              <w:rPr>
                                <w:rFonts w:hint="eastAsia"/>
                                <w:spacing w:val="-20"/>
                                <w:sz w:val="28"/>
                                <w:szCs w:val="28"/>
                              </w:rPr>
                              <w:t>北京智能制造创新联盟</w:t>
                            </w:r>
                          </w:p>
                        </w:tc>
                        <w:tc>
                          <w:tcPr>
                            <w:tcW w:w="1324" w:type="dxa"/>
                            <w:vAlign w:val="center"/>
                          </w:tcPr>
                          <w:p w14:paraId="63BBEF9F">
                            <w:pPr>
                              <w:pStyle w:val="51"/>
                              <w:rPr>
                                <w:rFonts w:ascii="黑体" w:eastAsia="黑体"/>
                                <w:sz w:val="28"/>
                                <w:szCs w:val="28"/>
                              </w:rPr>
                            </w:pPr>
                            <w:r>
                              <w:rPr>
                                <w:rFonts w:hint="eastAsia" w:ascii="黑体" w:eastAsia="黑体"/>
                                <w:sz w:val="28"/>
                                <w:szCs w:val="28"/>
                              </w:rPr>
                              <w:t xml:space="preserve">发布  </w:t>
                            </w:r>
                          </w:p>
                        </w:tc>
                      </w:tr>
                    </w:tbl>
                    <w:p w14:paraId="49BBB362">
                      <w:pPr>
                        <w:pStyle w:val="51"/>
                        <w:spacing w:line="360" w:lineRule="exact"/>
                        <w:ind w:right="1088"/>
                        <w:jc w:val="both"/>
                        <w:rPr>
                          <w:b w:val="0"/>
                          <w:color w:val="000000"/>
                          <w:spacing w:val="54"/>
                          <w:sz w:val="44"/>
                          <w:szCs w:val="44"/>
                        </w:rPr>
                      </w:pPr>
                    </w:p>
                  </w:txbxContent>
                </v:textbox>
              </v:shape>
            </w:pict>
          </mc:Fallback>
        </mc:AlternateContent>
      </w:r>
      <w:r>
        <w:rPr>
          <w:rFonts w:ascii="Arial" w:hAnsi="Arial" w:cs="Arial"/>
          <w:color w:val="000000"/>
        </w:rPr>
        <mc:AlternateContent>
          <mc:Choice Requires="wps">
            <w:drawing>
              <wp:anchor distT="0" distB="0" distL="114300" distR="114300" simplePos="0" relativeHeight="251662336" behindDoc="0" locked="0" layoutInCell="1" allowOverlap="1">
                <wp:simplePos x="0" y="0"/>
                <wp:positionH relativeFrom="margin">
                  <wp:posOffset>-400685</wp:posOffset>
                </wp:positionH>
                <wp:positionV relativeFrom="margin">
                  <wp:posOffset>2279650</wp:posOffset>
                </wp:positionV>
                <wp:extent cx="6381750" cy="4396105"/>
                <wp:effectExtent l="0" t="0" r="0" b="0"/>
                <wp:wrapNone/>
                <wp:docPr id="4" name="fmFrame4"/>
                <wp:cNvGraphicFramePr/>
                <a:graphic xmlns:a="http://schemas.openxmlformats.org/drawingml/2006/main">
                  <a:graphicData uri="http://schemas.microsoft.com/office/word/2010/wordprocessingShape">
                    <wps:wsp>
                      <wps:cNvSpPr txBox="1">
                        <a:spLocks noChangeArrowheads="1"/>
                      </wps:cNvSpPr>
                      <wps:spPr bwMode="auto">
                        <a:xfrm>
                          <a:off x="0" y="0"/>
                          <a:ext cx="6381750" cy="4396105"/>
                        </a:xfrm>
                        <a:prstGeom prst="rect">
                          <a:avLst/>
                        </a:prstGeom>
                        <a:solidFill>
                          <a:srgbClr val="FFFFFF"/>
                        </a:solidFill>
                        <a:ln>
                          <a:noFill/>
                        </a:ln>
                      </wps:spPr>
                      <wps:txbx>
                        <w:txbxContent>
                          <w:p w14:paraId="0E123B34">
                            <w:pPr>
                              <w:pStyle w:val="47"/>
                              <w:rPr>
                                <w:rFonts w:ascii="黑体" w:eastAsia="黑体"/>
                                <w:color w:val="000000"/>
                                <w:sz w:val="52"/>
                                <w:szCs w:val="52"/>
                              </w:rPr>
                            </w:pPr>
                            <w:r>
                              <w:rPr>
                                <w:rFonts w:hint="eastAsia" w:ascii="黑体" w:eastAsia="黑体"/>
                                <w:color w:val="000000"/>
                                <w:sz w:val="52"/>
                                <w:szCs w:val="52"/>
                              </w:rPr>
                              <w:t>产业链协同管控平台 第2部分：集成接口</w:t>
                            </w:r>
                          </w:p>
                          <w:p w14:paraId="6C75E173">
                            <w:pPr>
                              <w:pStyle w:val="47"/>
                              <w:rPr>
                                <w:rFonts w:hint="eastAsia" w:ascii="黑体" w:hAnsi="宋体" w:eastAsia="黑体"/>
                                <w:sz w:val="28"/>
                                <w:szCs w:val="28"/>
                              </w:rPr>
                            </w:pPr>
                            <w:r>
                              <w:rPr>
                                <w:rFonts w:hint="eastAsia" w:ascii="黑体" w:hAnsi="宋体" w:eastAsia="黑体"/>
                                <w:sz w:val="28"/>
                                <w:szCs w:val="28"/>
                              </w:rPr>
                              <w:t>Industrial chain collaborative management platform—Part 2:Integrated interface</w:t>
                            </w:r>
                          </w:p>
                          <w:p w14:paraId="0156F563">
                            <w:pPr>
                              <w:pStyle w:val="47"/>
                              <w:spacing w:before="180" w:line="360" w:lineRule="auto"/>
                              <w:rPr>
                                <w:rFonts w:hint="eastAsia" w:ascii="黑体" w:hAnsi="宋体" w:eastAsia="黑体"/>
                                <w:sz w:val="28"/>
                                <w:szCs w:val="28"/>
                              </w:rPr>
                            </w:pPr>
                            <w:r>
                              <w:rPr>
                                <w:rFonts w:hint="eastAsia" w:ascii="黑体" w:hAnsi="宋体" w:eastAsia="黑体"/>
                                <w:sz w:val="28"/>
                                <w:szCs w:val="28"/>
                              </w:rPr>
                              <w:t>（</w:t>
                            </w:r>
                            <w:r>
                              <w:rPr>
                                <w:rFonts w:hint="eastAsia" w:ascii="黑体" w:hAnsi="宋体" w:eastAsia="黑体"/>
                                <w:sz w:val="28"/>
                                <w:szCs w:val="28"/>
                                <w:lang w:val="en-US" w:eastAsia="zh-CN"/>
                              </w:rPr>
                              <w:t>征求意见</w:t>
                            </w:r>
                            <w:r>
                              <w:rPr>
                                <w:rFonts w:hint="eastAsia" w:ascii="黑体" w:hAnsi="宋体" w:eastAsia="黑体"/>
                                <w:sz w:val="28"/>
                                <w:szCs w:val="28"/>
                              </w:rPr>
                              <w:t>稿）</w:t>
                            </w:r>
                          </w:p>
                          <w:p w14:paraId="00108D24">
                            <w:pPr>
                              <w:pStyle w:val="47"/>
                              <w:rPr>
                                <w:rFonts w:hint="eastAsia" w:ascii="黑体" w:hAnsi="宋体" w:eastAsia="黑体"/>
                                <w:sz w:val="28"/>
                                <w:szCs w:val="28"/>
                              </w:rPr>
                            </w:pPr>
                            <w:r>
                              <w:rPr>
                                <w:rFonts w:ascii="黑体" w:hAnsi="宋体" w:eastAsia="黑体"/>
                                <w:sz w:val="28"/>
                                <w:szCs w:val="28"/>
                              </w:rPr>
                              <w:br w:type="textWrapping"/>
                            </w:r>
                          </w:p>
                          <w:p w14:paraId="16035E12">
                            <w:pPr>
                              <w:pStyle w:val="46"/>
                              <w:rPr>
                                <w:color w:val="000000"/>
                              </w:rPr>
                            </w:pP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31.55pt;margin-top:179.5pt;height:346.15pt;width:502.5pt;mso-position-horizontal-relative:margin;mso-position-vertical-relative:margin;z-index:251662336;mso-width-relative:page;mso-height-relative:page;" fillcolor="#FFFFFF" filled="t" stroked="f" coordsize="21600,21600" o:gfxdata="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QHtIn2wAAAAwBAAAPAAAA&#10;AAAAAAEAIAAAACIAAABkcnMvZG93bnJldi54bWxQSwECFAAUAAAACACHTuJAWlkNXhICAAAsBAAA&#10;DgAAAAAAAAABACAAAAAqAQAAZHJzL2Uyb0RvYy54bWxQSwUGAAAAAAYABgBZAQAArgUAAAAA&#10;">
                <v:fill on="t" focussize="0,0"/>
                <v:stroke on="f"/>
                <v:imagedata o:title=""/>
                <o:lock v:ext="edit" aspectratio="f"/>
                <v:textbox inset="0mm,0mm,0mm,0mm">
                  <w:txbxContent>
                    <w:p w14:paraId="0E123B34">
                      <w:pPr>
                        <w:pStyle w:val="47"/>
                        <w:rPr>
                          <w:rFonts w:ascii="黑体" w:eastAsia="黑体"/>
                          <w:color w:val="000000"/>
                          <w:sz w:val="52"/>
                          <w:szCs w:val="52"/>
                        </w:rPr>
                      </w:pPr>
                      <w:r>
                        <w:rPr>
                          <w:rFonts w:hint="eastAsia" w:ascii="黑体" w:eastAsia="黑体"/>
                          <w:color w:val="000000"/>
                          <w:sz w:val="52"/>
                          <w:szCs w:val="52"/>
                        </w:rPr>
                        <w:t>产业链协同管控平台 第2部分：集成接口</w:t>
                      </w:r>
                    </w:p>
                    <w:p w14:paraId="6C75E173">
                      <w:pPr>
                        <w:pStyle w:val="47"/>
                        <w:rPr>
                          <w:rFonts w:hint="eastAsia" w:ascii="黑体" w:hAnsi="宋体" w:eastAsia="黑体"/>
                          <w:sz w:val="28"/>
                          <w:szCs w:val="28"/>
                        </w:rPr>
                      </w:pPr>
                      <w:r>
                        <w:rPr>
                          <w:rFonts w:hint="eastAsia" w:ascii="黑体" w:hAnsi="宋体" w:eastAsia="黑体"/>
                          <w:sz w:val="28"/>
                          <w:szCs w:val="28"/>
                        </w:rPr>
                        <w:t>Industrial chain collaborative management platform—Part 2:Integrated interface</w:t>
                      </w:r>
                    </w:p>
                    <w:p w14:paraId="0156F563">
                      <w:pPr>
                        <w:pStyle w:val="47"/>
                        <w:spacing w:before="180" w:line="360" w:lineRule="auto"/>
                        <w:rPr>
                          <w:rFonts w:hint="eastAsia" w:ascii="黑体" w:hAnsi="宋体" w:eastAsia="黑体"/>
                          <w:sz w:val="28"/>
                          <w:szCs w:val="28"/>
                        </w:rPr>
                      </w:pPr>
                      <w:r>
                        <w:rPr>
                          <w:rFonts w:hint="eastAsia" w:ascii="黑体" w:hAnsi="宋体" w:eastAsia="黑体"/>
                          <w:sz w:val="28"/>
                          <w:szCs w:val="28"/>
                        </w:rPr>
                        <w:t>（</w:t>
                      </w:r>
                      <w:r>
                        <w:rPr>
                          <w:rFonts w:hint="eastAsia" w:ascii="黑体" w:hAnsi="宋体" w:eastAsia="黑体"/>
                          <w:sz w:val="28"/>
                          <w:szCs w:val="28"/>
                          <w:lang w:val="en-US" w:eastAsia="zh-CN"/>
                        </w:rPr>
                        <w:t>征求意见</w:t>
                      </w:r>
                      <w:r>
                        <w:rPr>
                          <w:rFonts w:hint="eastAsia" w:ascii="黑体" w:hAnsi="宋体" w:eastAsia="黑体"/>
                          <w:sz w:val="28"/>
                          <w:szCs w:val="28"/>
                        </w:rPr>
                        <w:t>稿）</w:t>
                      </w:r>
                    </w:p>
                    <w:p w14:paraId="00108D24">
                      <w:pPr>
                        <w:pStyle w:val="47"/>
                        <w:rPr>
                          <w:rFonts w:hint="eastAsia" w:ascii="黑体" w:hAnsi="宋体" w:eastAsia="黑体"/>
                          <w:sz w:val="28"/>
                          <w:szCs w:val="28"/>
                        </w:rPr>
                      </w:pPr>
                      <w:r>
                        <w:rPr>
                          <w:rFonts w:ascii="黑体" w:hAnsi="宋体" w:eastAsia="黑体"/>
                          <w:sz w:val="28"/>
                          <w:szCs w:val="28"/>
                        </w:rPr>
                        <w:br w:type="textWrapping"/>
                      </w:r>
                    </w:p>
                    <w:p w14:paraId="16035E12">
                      <w:pPr>
                        <w:pStyle w:val="46"/>
                        <w:rPr>
                          <w:color w:val="000000"/>
                        </w:rPr>
                      </w:pPr>
                    </w:p>
                  </w:txbxContent>
                </v:textbox>
              </v:shape>
            </w:pict>
          </mc:Fallback>
        </mc:AlternateContent>
      </w:r>
    </w:p>
    <w:p w14:paraId="30BCCB6C">
      <w:pPr>
        <w:pStyle w:val="58"/>
        <w:spacing w:after="360"/>
      </w:pPr>
      <w:bookmarkStart w:id="1" w:name="BookMark1"/>
      <w:r>
        <w:rPr>
          <w:rFonts w:hint="eastAsia"/>
          <w:spacing w:val="320"/>
        </w:rPr>
        <w:t>目</w:t>
      </w:r>
      <w:r>
        <w:rPr>
          <w:rFonts w:hint="eastAsia"/>
        </w:rPr>
        <w:t>次</w:t>
      </w:r>
    </w:p>
    <w:p w14:paraId="504E8D7A">
      <w:pPr>
        <w:pStyle w:val="14"/>
        <w:tabs>
          <w:tab w:val="right" w:leader="dot" w:pos="9354"/>
          <w:tab w:val="clear" w:pos="9345"/>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_Toc23813 </w:instrText>
      </w:r>
      <w:r>
        <w:fldChar w:fldCharType="separate"/>
      </w:r>
      <w:r>
        <w:rPr>
          <w:rFonts w:hint="eastAsia"/>
          <w:spacing w:val="320"/>
        </w:rPr>
        <w:t>前</w:t>
      </w:r>
      <w:r>
        <w:rPr>
          <w:rFonts w:hint="eastAsia"/>
        </w:rPr>
        <w:t>言</w:t>
      </w:r>
      <w:r>
        <w:tab/>
      </w:r>
      <w:r>
        <w:fldChar w:fldCharType="begin"/>
      </w:r>
      <w:r>
        <w:instrText xml:space="preserve"> PAGEREF _Toc23813 \h </w:instrText>
      </w:r>
      <w:r>
        <w:fldChar w:fldCharType="separate"/>
      </w:r>
      <w:r>
        <w:t>II</w:t>
      </w:r>
      <w:r>
        <w:fldChar w:fldCharType="end"/>
      </w:r>
      <w:r>
        <w:fldChar w:fldCharType="end"/>
      </w:r>
    </w:p>
    <w:p w14:paraId="091BB6E2">
      <w:pPr>
        <w:pStyle w:val="14"/>
        <w:tabs>
          <w:tab w:val="right" w:leader="dot" w:pos="9354"/>
          <w:tab w:val="clear" w:pos="9345"/>
        </w:tabs>
      </w:pPr>
      <w:r>
        <w:fldChar w:fldCharType="begin"/>
      </w:r>
      <w:r>
        <w:instrText xml:space="preserve"> HYPERLINK \l _Toc22057 </w:instrText>
      </w:r>
      <w:r>
        <w:fldChar w:fldCharType="separate"/>
      </w:r>
      <w:r>
        <w:rPr>
          <w:rFonts w:hint="eastAsia"/>
          <w:spacing w:val="320"/>
        </w:rPr>
        <w:t>引</w:t>
      </w:r>
      <w:r>
        <w:rPr>
          <w:rFonts w:hint="eastAsia"/>
        </w:rPr>
        <w:t>言</w:t>
      </w:r>
      <w:r>
        <w:tab/>
      </w:r>
      <w:r>
        <w:fldChar w:fldCharType="begin"/>
      </w:r>
      <w:r>
        <w:instrText xml:space="preserve"> PAGEREF _Toc22057 \h </w:instrText>
      </w:r>
      <w:r>
        <w:fldChar w:fldCharType="separate"/>
      </w:r>
      <w:r>
        <w:t>III</w:t>
      </w:r>
      <w:r>
        <w:fldChar w:fldCharType="end"/>
      </w:r>
      <w:r>
        <w:fldChar w:fldCharType="end"/>
      </w:r>
    </w:p>
    <w:p w14:paraId="0B0C6F40">
      <w:pPr>
        <w:pStyle w:val="14"/>
        <w:tabs>
          <w:tab w:val="right" w:leader="dot" w:pos="9354"/>
          <w:tab w:val="clear" w:pos="9345"/>
        </w:tabs>
      </w:pPr>
      <w:r>
        <w:fldChar w:fldCharType="begin"/>
      </w:r>
      <w:r>
        <w:instrText xml:space="preserve"> HYPERLINK \l _Toc18804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_Toc18804 \h </w:instrText>
      </w:r>
      <w:r>
        <w:fldChar w:fldCharType="separate"/>
      </w:r>
      <w:r>
        <w:t>1</w:t>
      </w:r>
      <w:r>
        <w:fldChar w:fldCharType="end"/>
      </w:r>
      <w:r>
        <w:fldChar w:fldCharType="end"/>
      </w:r>
    </w:p>
    <w:p w14:paraId="27233B0A">
      <w:pPr>
        <w:pStyle w:val="14"/>
        <w:tabs>
          <w:tab w:val="right" w:leader="dot" w:pos="9354"/>
          <w:tab w:val="clear" w:pos="9345"/>
        </w:tabs>
      </w:pPr>
      <w:r>
        <w:fldChar w:fldCharType="begin"/>
      </w:r>
      <w:r>
        <w:instrText xml:space="preserve"> HYPERLINK \l _Toc11106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_Toc11106 \h </w:instrText>
      </w:r>
      <w:r>
        <w:fldChar w:fldCharType="separate"/>
      </w:r>
      <w:r>
        <w:t>1</w:t>
      </w:r>
      <w:r>
        <w:fldChar w:fldCharType="end"/>
      </w:r>
      <w:r>
        <w:fldChar w:fldCharType="end"/>
      </w:r>
    </w:p>
    <w:p w14:paraId="0C527A84">
      <w:pPr>
        <w:pStyle w:val="14"/>
        <w:tabs>
          <w:tab w:val="right" w:leader="dot" w:pos="9354"/>
          <w:tab w:val="clear" w:pos="9345"/>
        </w:tabs>
      </w:pPr>
      <w:r>
        <w:fldChar w:fldCharType="begin"/>
      </w:r>
      <w:r>
        <w:instrText xml:space="preserve"> HYPERLINK \l _Toc2646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_Toc2646 \h </w:instrText>
      </w:r>
      <w:r>
        <w:fldChar w:fldCharType="separate"/>
      </w:r>
      <w:r>
        <w:t>1</w:t>
      </w:r>
      <w:r>
        <w:fldChar w:fldCharType="end"/>
      </w:r>
      <w:r>
        <w:fldChar w:fldCharType="end"/>
      </w:r>
    </w:p>
    <w:p w14:paraId="7D30704C">
      <w:pPr>
        <w:pStyle w:val="14"/>
        <w:tabs>
          <w:tab w:val="right" w:leader="dot" w:pos="9354"/>
          <w:tab w:val="clear" w:pos="9345"/>
        </w:tabs>
      </w:pPr>
      <w:r>
        <w:fldChar w:fldCharType="begin"/>
      </w:r>
      <w:r>
        <w:instrText xml:space="preserve"> HYPERLINK \l _Toc30382 </w:instrText>
      </w:r>
      <w:r>
        <w:fldChar w:fldCharType="separate"/>
      </w:r>
      <w:r>
        <w:rPr>
          <w:rFonts w:hint="eastAsia" w:ascii="黑体" w:eastAsia="黑体"/>
          <w:i w:val="0"/>
        </w:rPr>
        <w:t xml:space="preserve">4 </w:t>
      </w:r>
      <w:r>
        <w:rPr>
          <w:rFonts w:hint="eastAsia"/>
        </w:rPr>
        <w:t>缩略语</w:t>
      </w:r>
      <w:r>
        <w:tab/>
      </w:r>
      <w:r>
        <w:fldChar w:fldCharType="begin"/>
      </w:r>
      <w:r>
        <w:instrText xml:space="preserve"> PAGEREF _Toc30382 \h </w:instrText>
      </w:r>
      <w:r>
        <w:fldChar w:fldCharType="separate"/>
      </w:r>
      <w:r>
        <w:t>1</w:t>
      </w:r>
      <w:r>
        <w:fldChar w:fldCharType="end"/>
      </w:r>
      <w:r>
        <w:fldChar w:fldCharType="end"/>
      </w:r>
    </w:p>
    <w:p w14:paraId="3A96A35C">
      <w:pPr>
        <w:pStyle w:val="14"/>
        <w:tabs>
          <w:tab w:val="right" w:leader="dot" w:pos="9354"/>
          <w:tab w:val="clear" w:pos="9345"/>
        </w:tabs>
      </w:pPr>
      <w:r>
        <w:fldChar w:fldCharType="begin"/>
      </w:r>
      <w:r>
        <w:instrText xml:space="preserve"> HYPERLINK \l _Toc4029 </w:instrText>
      </w:r>
      <w:r>
        <w:fldChar w:fldCharType="separate"/>
      </w:r>
      <w:r>
        <w:rPr>
          <w:rFonts w:hint="eastAsia" w:ascii="黑体" w:eastAsia="黑体"/>
          <w:i w:val="0"/>
        </w:rPr>
        <w:t xml:space="preserve">5 </w:t>
      </w:r>
      <w:r>
        <w:t>产业链协同管控平台集成对象分类</w:t>
      </w:r>
      <w:r>
        <w:tab/>
      </w:r>
      <w:r>
        <w:fldChar w:fldCharType="begin"/>
      </w:r>
      <w:r>
        <w:instrText xml:space="preserve"> PAGEREF _Toc4029 \h </w:instrText>
      </w:r>
      <w:r>
        <w:fldChar w:fldCharType="separate"/>
      </w:r>
      <w:r>
        <w:t>2</w:t>
      </w:r>
      <w:r>
        <w:fldChar w:fldCharType="end"/>
      </w:r>
      <w:r>
        <w:fldChar w:fldCharType="end"/>
      </w:r>
    </w:p>
    <w:p w14:paraId="1AB04781">
      <w:pPr>
        <w:pStyle w:val="16"/>
        <w:tabs>
          <w:tab w:val="right" w:leader="dot" w:pos="9354"/>
        </w:tabs>
      </w:pPr>
      <w:r>
        <w:fldChar w:fldCharType="begin"/>
      </w:r>
      <w:r>
        <w:instrText xml:space="preserve"> HYPERLINK \l _Toc32056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rPr>
        <w:t>分类原则</w:t>
      </w:r>
      <w:r>
        <w:tab/>
      </w:r>
      <w:r>
        <w:fldChar w:fldCharType="begin"/>
      </w:r>
      <w:r>
        <w:instrText xml:space="preserve"> PAGEREF _Toc32056 \h </w:instrText>
      </w:r>
      <w:r>
        <w:fldChar w:fldCharType="separate"/>
      </w:r>
      <w:r>
        <w:t>2</w:t>
      </w:r>
      <w:r>
        <w:fldChar w:fldCharType="end"/>
      </w:r>
      <w:r>
        <w:fldChar w:fldCharType="end"/>
      </w:r>
    </w:p>
    <w:p w14:paraId="0D61C82B">
      <w:pPr>
        <w:pStyle w:val="16"/>
        <w:tabs>
          <w:tab w:val="right" w:leader="dot" w:pos="9354"/>
        </w:tabs>
      </w:pPr>
      <w:r>
        <w:fldChar w:fldCharType="begin"/>
      </w:r>
      <w:r>
        <w:instrText xml:space="preserve"> HYPERLINK \l _Toc20991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rPr>
        <w:t>核心类别及定义</w:t>
      </w:r>
      <w:r>
        <w:tab/>
      </w:r>
      <w:r>
        <w:fldChar w:fldCharType="begin"/>
      </w:r>
      <w:r>
        <w:instrText xml:space="preserve"> PAGEREF _Toc20991 \h </w:instrText>
      </w:r>
      <w:r>
        <w:fldChar w:fldCharType="separate"/>
      </w:r>
      <w:r>
        <w:t>2</w:t>
      </w:r>
      <w:r>
        <w:fldChar w:fldCharType="end"/>
      </w:r>
      <w:r>
        <w:fldChar w:fldCharType="end"/>
      </w:r>
    </w:p>
    <w:p w14:paraId="576219CC">
      <w:pPr>
        <w:pStyle w:val="16"/>
        <w:tabs>
          <w:tab w:val="right" w:leader="dot" w:pos="9354"/>
        </w:tabs>
      </w:pPr>
      <w:r>
        <w:fldChar w:fldCharType="begin"/>
      </w:r>
      <w:r>
        <w:instrText xml:space="preserve"> HYPERLINK \l _Toc26226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5.3 </w:t>
      </w:r>
      <w:r>
        <w:rPr>
          <w:rFonts w:hint="eastAsia"/>
        </w:rPr>
        <w:t>各类对象集成要求</w:t>
      </w:r>
      <w:r>
        <w:tab/>
      </w:r>
      <w:r>
        <w:fldChar w:fldCharType="begin"/>
      </w:r>
      <w:r>
        <w:instrText xml:space="preserve"> PAGEREF _Toc26226 \h </w:instrText>
      </w:r>
      <w:r>
        <w:fldChar w:fldCharType="separate"/>
      </w:r>
      <w:r>
        <w:t>2</w:t>
      </w:r>
      <w:r>
        <w:fldChar w:fldCharType="end"/>
      </w:r>
      <w:r>
        <w:fldChar w:fldCharType="end"/>
      </w:r>
    </w:p>
    <w:p w14:paraId="3091C57E">
      <w:pPr>
        <w:pStyle w:val="14"/>
        <w:tabs>
          <w:tab w:val="right" w:leader="dot" w:pos="9354"/>
          <w:tab w:val="clear" w:pos="9345"/>
        </w:tabs>
      </w:pPr>
      <w:r>
        <w:fldChar w:fldCharType="begin"/>
      </w:r>
      <w:r>
        <w:instrText xml:space="preserve"> HYPERLINK \l _Toc29042 </w:instrText>
      </w:r>
      <w:r>
        <w:fldChar w:fldCharType="separate"/>
      </w:r>
      <w:r>
        <w:rPr>
          <w:rFonts w:hint="eastAsia" w:ascii="黑体" w:eastAsia="黑体"/>
          <w:i w:val="0"/>
        </w:rPr>
        <w:t xml:space="preserve">6 </w:t>
      </w:r>
      <w:r>
        <w:t>产业链协同管控平台集成框架</w:t>
      </w:r>
      <w:r>
        <w:tab/>
      </w:r>
      <w:r>
        <w:fldChar w:fldCharType="begin"/>
      </w:r>
      <w:r>
        <w:instrText xml:space="preserve"> PAGEREF _Toc29042 \h </w:instrText>
      </w:r>
      <w:r>
        <w:fldChar w:fldCharType="separate"/>
      </w:r>
      <w:r>
        <w:t>3</w:t>
      </w:r>
      <w:r>
        <w:fldChar w:fldCharType="end"/>
      </w:r>
      <w:r>
        <w:fldChar w:fldCharType="end"/>
      </w:r>
    </w:p>
    <w:p w14:paraId="29491982">
      <w:pPr>
        <w:pStyle w:val="16"/>
        <w:tabs>
          <w:tab w:val="right" w:leader="dot" w:pos="9354"/>
        </w:tabs>
      </w:pPr>
      <w:r>
        <w:fldChar w:fldCharType="begin"/>
      </w:r>
      <w:r>
        <w:instrText xml:space="preserve"> HYPERLINK \l _Toc13662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 </w:t>
      </w:r>
      <w:r>
        <w:t>框架层级结构</w:t>
      </w:r>
      <w:r>
        <w:tab/>
      </w:r>
      <w:r>
        <w:fldChar w:fldCharType="begin"/>
      </w:r>
      <w:r>
        <w:instrText xml:space="preserve"> PAGEREF _Toc13662 \h </w:instrText>
      </w:r>
      <w:r>
        <w:fldChar w:fldCharType="separate"/>
      </w:r>
      <w:r>
        <w:t>3</w:t>
      </w:r>
      <w:r>
        <w:fldChar w:fldCharType="end"/>
      </w:r>
      <w:r>
        <w:fldChar w:fldCharType="end"/>
      </w:r>
    </w:p>
    <w:p w14:paraId="50B2CC44">
      <w:pPr>
        <w:pStyle w:val="16"/>
        <w:tabs>
          <w:tab w:val="right" w:leader="dot" w:pos="9354"/>
        </w:tabs>
      </w:pPr>
      <w:r>
        <w:fldChar w:fldCharType="begin"/>
      </w:r>
      <w:r>
        <w:instrText xml:space="preserve"> HYPERLINK \l _Toc16645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6.2 </w:t>
      </w:r>
      <w:r>
        <w:t>框架协同机制</w:t>
      </w:r>
      <w:r>
        <w:tab/>
      </w:r>
      <w:r>
        <w:fldChar w:fldCharType="begin"/>
      </w:r>
      <w:r>
        <w:instrText xml:space="preserve"> PAGEREF _Toc16645 \h </w:instrText>
      </w:r>
      <w:r>
        <w:fldChar w:fldCharType="separate"/>
      </w:r>
      <w:r>
        <w:t>3</w:t>
      </w:r>
      <w:r>
        <w:fldChar w:fldCharType="end"/>
      </w:r>
      <w:r>
        <w:fldChar w:fldCharType="end"/>
      </w:r>
    </w:p>
    <w:p w14:paraId="673264F7">
      <w:pPr>
        <w:pStyle w:val="14"/>
        <w:tabs>
          <w:tab w:val="right" w:leader="dot" w:pos="9354"/>
          <w:tab w:val="clear" w:pos="9345"/>
        </w:tabs>
      </w:pPr>
      <w:r>
        <w:fldChar w:fldCharType="begin"/>
      </w:r>
      <w:r>
        <w:instrText xml:space="preserve"> HYPERLINK \l _Toc17721 </w:instrText>
      </w:r>
      <w:r>
        <w:fldChar w:fldCharType="separate"/>
      </w:r>
      <w:r>
        <w:rPr>
          <w:rFonts w:hint="eastAsia" w:ascii="黑体" w:eastAsia="黑体"/>
          <w:i w:val="0"/>
        </w:rPr>
        <w:t xml:space="preserve">7 </w:t>
      </w:r>
      <w:r>
        <w:rPr>
          <w:rFonts w:hint="eastAsia"/>
          <w:lang w:val="en-US" w:eastAsia="zh-CN"/>
        </w:rPr>
        <w:t>集成</w:t>
      </w:r>
      <w:r>
        <w:rPr>
          <w:rFonts w:hint="eastAsia"/>
        </w:rPr>
        <w:t>接口模型</w:t>
      </w:r>
      <w:r>
        <w:tab/>
      </w:r>
      <w:r>
        <w:fldChar w:fldCharType="begin"/>
      </w:r>
      <w:r>
        <w:instrText xml:space="preserve"> PAGEREF _Toc17721 \h </w:instrText>
      </w:r>
      <w:r>
        <w:fldChar w:fldCharType="separate"/>
      </w:r>
      <w:r>
        <w:t>4</w:t>
      </w:r>
      <w:r>
        <w:fldChar w:fldCharType="end"/>
      </w:r>
      <w:r>
        <w:fldChar w:fldCharType="end"/>
      </w:r>
    </w:p>
    <w:p w14:paraId="09F270CC">
      <w:pPr>
        <w:pStyle w:val="16"/>
        <w:tabs>
          <w:tab w:val="right" w:leader="dot" w:pos="9354"/>
        </w:tabs>
      </w:pPr>
      <w:r>
        <w:fldChar w:fldCharType="begin"/>
      </w:r>
      <w:r>
        <w:instrText xml:space="preserve"> HYPERLINK \l _Toc31440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7.1 </w:t>
      </w:r>
      <w:r>
        <w:rPr>
          <w:rFonts w:hint="eastAsia"/>
          <w:lang w:val="en-US" w:eastAsia="zh-CN"/>
        </w:rPr>
        <w:t>集成</w:t>
      </w:r>
      <w:r>
        <w:rPr>
          <w:rFonts w:hint="eastAsia"/>
        </w:rPr>
        <w:t>接口模型结构</w:t>
      </w:r>
      <w:r>
        <w:tab/>
      </w:r>
      <w:r>
        <w:fldChar w:fldCharType="begin"/>
      </w:r>
      <w:r>
        <w:instrText xml:space="preserve"> PAGEREF _Toc31440 \h </w:instrText>
      </w:r>
      <w:r>
        <w:fldChar w:fldCharType="separate"/>
      </w:r>
      <w:r>
        <w:t>4</w:t>
      </w:r>
      <w:r>
        <w:fldChar w:fldCharType="end"/>
      </w:r>
      <w:r>
        <w:fldChar w:fldCharType="end"/>
      </w:r>
    </w:p>
    <w:p w14:paraId="394D6FCC">
      <w:pPr>
        <w:pStyle w:val="16"/>
        <w:tabs>
          <w:tab w:val="right" w:leader="dot" w:pos="9354"/>
        </w:tabs>
      </w:pPr>
      <w:r>
        <w:fldChar w:fldCharType="begin"/>
      </w:r>
      <w:r>
        <w:instrText xml:space="preserve"> HYPERLINK \l _Toc11367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7.2 </w:t>
      </w:r>
      <w:r>
        <w:rPr>
          <w:rFonts w:hint="eastAsia"/>
        </w:rPr>
        <w:t>接口模型核心要素</w:t>
      </w:r>
      <w:r>
        <w:tab/>
      </w:r>
      <w:r>
        <w:fldChar w:fldCharType="begin"/>
      </w:r>
      <w:r>
        <w:instrText xml:space="preserve"> PAGEREF _Toc11367 \h </w:instrText>
      </w:r>
      <w:r>
        <w:fldChar w:fldCharType="separate"/>
      </w:r>
      <w:r>
        <w:t>4</w:t>
      </w:r>
      <w:r>
        <w:fldChar w:fldCharType="end"/>
      </w:r>
      <w:r>
        <w:fldChar w:fldCharType="end"/>
      </w:r>
    </w:p>
    <w:p w14:paraId="2E9EA787">
      <w:pPr>
        <w:pStyle w:val="16"/>
        <w:tabs>
          <w:tab w:val="right" w:leader="dot" w:pos="9354"/>
        </w:tabs>
      </w:pPr>
      <w:r>
        <w:fldChar w:fldCharType="begin"/>
      </w:r>
      <w:r>
        <w:instrText xml:space="preserve"> HYPERLINK \l _Toc5568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7.3 </w:t>
      </w:r>
      <w:r>
        <w:rPr>
          <w:rFonts w:hint="eastAsia"/>
        </w:rPr>
        <w:t>接口模型类型及要求</w:t>
      </w:r>
      <w:r>
        <w:tab/>
      </w:r>
      <w:r>
        <w:fldChar w:fldCharType="begin"/>
      </w:r>
      <w:r>
        <w:instrText xml:space="preserve"> PAGEREF _Toc5568 \h </w:instrText>
      </w:r>
      <w:r>
        <w:fldChar w:fldCharType="separate"/>
      </w:r>
      <w:r>
        <w:t>4</w:t>
      </w:r>
      <w:r>
        <w:fldChar w:fldCharType="end"/>
      </w:r>
      <w:r>
        <w:fldChar w:fldCharType="end"/>
      </w:r>
    </w:p>
    <w:p w14:paraId="37414385">
      <w:pPr>
        <w:pStyle w:val="14"/>
        <w:tabs>
          <w:tab w:val="right" w:leader="dot" w:pos="9354"/>
          <w:tab w:val="clear" w:pos="9345"/>
        </w:tabs>
      </w:pPr>
      <w:r>
        <w:fldChar w:fldCharType="begin"/>
      </w:r>
      <w:r>
        <w:instrText xml:space="preserve"> HYPERLINK \l _Toc16333 </w:instrText>
      </w:r>
      <w:r>
        <w:fldChar w:fldCharType="separate"/>
      </w:r>
      <w:r>
        <w:rPr>
          <w:rFonts w:hint="eastAsia" w:ascii="黑体" w:eastAsia="黑体"/>
          <w:i w:val="0"/>
        </w:rPr>
        <w:t xml:space="preserve">8 </w:t>
      </w:r>
      <w:r>
        <w:rPr>
          <w:rFonts w:hint="eastAsia"/>
        </w:rPr>
        <w:t>集成接口</w:t>
      </w:r>
      <w:r>
        <w:rPr>
          <w:rFonts w:hint="eastAsia"/>
          <w:lang w:val="en-US" w:eastAsia="zh-CN"/>
        </w:rPr>
        <w:t>技术</w:t>
      </w:r>
      <w:r>
        <w:rPr>
          <w:rFonts w:hint="eastAsia"/>
        </w:rPr>
        <w:t>要求</w:t>
      </w:r>
      <w:r>
        <w:tab/>
      </w:r>
      <w:r>
        <w:fldChar w:fldCharType="begin"/>
      </w:r>
      <w:r>
        <w:instrText xml:space="preserve"> PAGEREF _Toc16333 \h </w:instrText>
      </w:r>
      <w:r>
        <w:fldChar w:fldCharType="separate"/>
      </w:r>
      <w:r>
        <w:t>5</w:t>
      </w:r>
      <w:r>
        <w:fldChar w:fldCharType="end"/>
      </w:r>
      <w:r>
        <w:fldChar w:fldCharType="end"/>
      </w:r>
    </w:p>
    <w:p w14:paraId="0AFECF14">
      <w:pPr>
        <w:pStyle w:val="16"/>
        <w:tabs>
          <w:tab w:val="right" w:leader="dot" w:pos="9354"/>
        </w:tabs>
      </w:pPr>
      <w:r>
        <w:fldChar w:fldCharType="begin"/>
      </w:r>
      <w:r>
        <w:instrText xml:space="preserve"> HYPERLINK \l _Toc11790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8.1 </w:t>
      </w:r>
      <w:r>
        <w:rPr>
          <w:rFonts w:hint="eastAsia"/>
        </w:rPr>
        <w:t>通用性</w:t>
      </w:r>
      <w:r>
        <w:tab/>
      </w:r>
      <w:r>
        <w:fldChar w:fldCharType="begin"/>
      </w:r>
      <w:r>
        <w:instrText xml:space="preserve"> PAGEREF _Toc11790 \h </w:instrText>
      </w:r>
      <w:r>
        <w:fldChar w:fldCharType="separate"/>
      </w:r>
      <w:r>
        <w:t>5</w:t>
      </w:r>
      <w:r>
        <w:fldChar w:fldCharType="end"/>
      </w:r>
      <w:r>
        <w:fldChar w:fldCharType="end"/>
      </w:r>
    </w:p>
    <w:p w14:paraId="5604EE12">
      <w:pPr>
        <w:pStyle w:val="16"/>
        <w:tabs>
          <w:tab w:val="right" w:leader="dot" w:pos="9354"/>
        </w:tabs>
      </w:pPr>
      <w:r>
        <w:fldChar w:fldCharType="begin"/>
      </w:r>
      <w:r>
        <w:instrText xml:space="preserve"> HYPERLINK \l _Toc514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8.2 </w:t>
      </w:r>
      <w:r>
        <w:rPr>
          <w:rFonts w:hint="eastAsia"/>
        </w:rPr>
        <w:t>互操作性</w:t>
      </w:r>
      <w:r>
        <w:tab/>
      </w:r>
      <w:r>
        <w:fldChar w:fldCharType="begin"/>
      </w:r>
      <w:r>
        <w:instrText xml:space="preserve"> PAGEREF _Toc514 \h </w:instrText>
      </w:r>
      <w:r>
        <w:fldChar w:fldCharType="separate"/>
      </w:r>
      <w:r>
        <w:t>5</w:t>
      </w:r>
      <w:r>
        <w:fldChar w:fldCharType="end"/>
      </w:r>
      <w:r>
        <w:fldChar w:fldCharType="end"/>
      </w:r>
    </w:p>
    <w:p w14:paraId="299DE413">
      <w:pPr>
        <w:pStyle w:val="16"/>
        <w:tabs>
          <w:tab w:val="right" w:leader="dot" w:pos="9354"/>
        </w:tabs>
      </w:pPr>
      <w:r>
        <w:fldChar w:fldCharType="begin"/>
      </w:r>
      <w:r>
        <w:instrText xml:space="preserve"> HYPERLINK \l _Toc15918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8.3 </w:t>
      </w:r>
      <w:r>
        <w:rPr>
          <w:rFonts w:hint="eastAsia"/>
        </w:rPr>
        <w:t>可扩展性</w:t>
      </w:r>
      <w:r>
        <w:tab/>
      </w:r>
      <w:r>
        <w:fldChar w:fldCharType="begin"/>
      </w:r>
      <w:r>
        <w:instrText xml:space="preserve"> PAGEREF _Toc15918 \h </w:instrText>
      </w:r>
      <w:r>
        <w:fldChar w:fldCharType="separate"/>
      </w:r>
      <w:r>
        <w:t>5</w:t>
      </w:r>
      <w:r>
        <w:fldChar w:fldCharType="end"/>
      </w:r>
      <w:r>
        <w:fldChar w:fldCharType="end"/>
      </w:r>
    </w:p>
    <w:p w14:paraId="726AAF9A">
      <w:pPr>
        <w:pStyle w:val="16"/>
        <w:tabs>
          <w:tab w:val="right" w:leader="dot" w:pos="9354"/>
        </w:tabs>
      </w:pPr>
      <w:r>
        <w:fldChar w:fldCharType="begin"/>
      </w:r>
      <w:r>
        <w:instrText xml:space="preserve"> HYPERLINK \l _Toc25853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8.4 </w:t>
      </w:r>
      <w:r>
        <w:rPr>
          <w:rFonts w:hint="eastAsia"/>
        </w:rPr>
        <w:t>安全性</w:t>
      </w:r>
      <w:r>
        <w:tab/>
      </w:r>
      <w:r>
        <w:fldChar w:fldCharType="begin"/>
      </w:r>
      <w:r>
        <w:instrText xml:space="preserve"> PAGEREF _Toc25853 \h </w:instrText>
      </w:r>
      <w:r>
        <w:fldChar w:fldCharType="separate"/>
      </w:r>
      <w:r>
        <w:t>5</w:t>
      </w:r>
      <w:r>
        <w:fldChar w:fldCharType="end"/>
      </w:r>
      <w:r>
        <w:fldChar w:fldCharType="end"/>
      </w:r>
    </w:p>
    <w:p w14:paraId="4A9202F5">
      <w:pPr>
        <w:pStyle w:val="16"/>
        <w:tabs>
          <w:tab w:val="right" w:leader="dot" w:pos="9354"/>
        </w:tabs>
      </w:pPr>
      <w:r>
        <w:fldChar w:fldCharType="begin"/>
      </w:r>
      <w:r>
        <w:instrText xml:space="preserve"> HYPERLINK \l _Toc5194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8.5 </w:t>
      </w:r>
      <w:r>
        <w:rPr>
          <w:rFonts w:hint="eastAsia"/>
        </w:rPr>
        <w:t>稳定性</w:t>
      </w:r>
      <w:r>
        <w:tab/>
      </w:r>
      <w:r>
        <w:fldChar w:fldCharType="begin"/>
      </w:r>
      <w:r>
        <w:instrText xml:space="preserve"> PAGEREF _Toc5194 \h </w:instrText>
      </w:r>
      <w:r>
        <w:fldChar w:fldCharType="separate"/>
      </w:r>
      <w:r>
        <w:t>5</w:t>
      </w:r>
      <w:r>
        <w:fldChar w:fldCharType="end"/>
      </w:r>
      <w:r>
        <w:fldChar w:fldCharType="end"/>
      </w:r>
    </w:p>
    <w:p w14:paraId="5835A0B2">
      <w:pPr>
        <w:pStyle w:val="14"/>
        <w:tabs>
          <w:tab w:val="right" w:leader="dot" w:pos="9354"/>
          <w:tab w:val="clear" w:pos="9345"/>
        </w:tabs>
      </w:pPr>
      <w:r>
        <w:fldChar w:fldCharType="begin"/>
      </w:r>
      <w:r>
        <w:instrText xml:space="preserve"> HYPERLINK \l _Toc14882 </w:instrText>
      </w:r>
      <w:r>
        <w:fldChar w:fldCharType="separate"/>
      </w:r>
      <w:r>
        <w:rPr>
          <w:rFonts w:hint="eastAsia"/>
          <w:spacing w:val="100"/>
        </w:rPr>
        <w:t xml:space="preserve">附录A </w:t>
      </w:r>
      <w:r>
        <w:t xml:space="preserve"> </w:t>
      </w:r>
      <w:r>
        <w:rPr>
          <w:rFonts w:hint="eastAsia"/>
        </w:rPr>
        <w:t>（资料性）</w:t>
      </w:r>
      <w:r>
        <w:t xml:space="preserve"> </w:t>
      </w:r>
      <w:r>
        <w:rPr>
          <w:rFonts w:hint="eastAsia"/>
        </w:rPr>
        <w:t>集成对象与接口模型对应关系示例</w:t>
      </w:r>
      <w:r>
        <w:tab/>
      </w:r>
      <w:r>
        <w:fldChar w:fldCharType="begin"/>
      </w:r>
      <w:r>
        <w:instrText xml:space="preserve"> PAGEREF _Toc14882 \h </w:instrText>
      </w:r>
      <w:r>
        <w:fldChar w:fldCharType="separate"/>
      </w:r>
      <w:r>
        <w:t>1</w:t>
      </w:r>
      <w:r>
        <w:fldChar w:fldCharType="end"/>
      </w:r>
      <w:r>
        <w:fldChar w:fldCharType="end"/>
      </w:r>
    </w:p>
    <w:p w14:paraId="61CEB2E0">
      <w:pPr>
        <w:pStyle w:val="58"/>
        <w:spacing w:after="36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1"/>
    <w:p w14:paraId="51B137D5">
      <w:pPr>
        <w:pStyle w:val="57"/>
        <w:spacing w:before="900" w:after="360"/>
      </w:pPr>
      <w:bookmarkStart w:id="2" w:name="_Toc23813"/>
      <w:bookmarkStart w:id="3" w:name="BookMark2"/>
      <w:r>
        <w:rPr>
          <w:rFonts w:hint="eastAsia"/>
          <w:spacing w:val="320"/>
        </w:rPr>
        <w:t>前</w:t>
      </w:r>
      <w:r>
        <w:rPr>
          <w:rFonts w:hint="eastAsia"/>
        </w:rPr>
        <w:t>言</w:t>
      </w:r>
      <w:bookmarkEnd w:id="2"/>
    </w:p>
    <w:p w14:paraId="16B7B4E8">
      <w:pPr>
        <w:pStyle w:val="54"/>
        <w:ind w:firstLine="420"/>
      </w:pPr>
      <w:r>
        <w:rPr>
          <w:rFonts w:hint="eastAsia"/>
        </w:rPr>
        <w:t>本文件按照GB/T 1.1—2020《标准化工作导则  第1部分：标准化文件的结构和起草规则》的规定起草。</w:t>
      </w:r>
    </w:p>
    <w:p w14:paraId="20A3E98C">
      <w:pPr>
        <w:pStyle w:val="54"/>
        <w:ind w:firstLine="420"/>
      </w:pPr>
      <w:r>
        <w:t>T/BIAIM</w:t>
      </w:r>
      <w:r>
        <w:rPr>
          <w:rFonts w:hint="eastAsia"/>
        </w:rPr>
        <w:t xml:space="preserve"> XXXXX 《产业链协同管控平台》系列标准计划发布以下部分：</w:t>
      </w:r>
    </w:p>
    <w:p w14:paraId="4B435B5A">
      <w:pPr>
        <w:pStyle w:val="54"/>
        <w:ind w:firstLine="420"/>
      </w:pPr>
      <w:r>
        <w:rPr>
          <w:rFonts w:hint="eastAsia"/>
        </w:rPr>
        <w:t>第1部分: 参考架构；</w:t>
      </w:r>
    </w:p>
    <w:p w14:paraId="72146E13">
      <w:pPr>
        <w:pStyle w:val="54"/>
        <w:ind w:firstLine="420"/>
      </w:pPr>
      <w:r>
        <w:rPr>
          <w:rFonts w:hint="eastAsia"/>
        </w:rPr>
        <w:t>第2部分: 集成接口；</w:t>
      </w:r>
    </w:p>
    <w:p w14:paraId="14CFBBB4">
      <w:pPr>
        <w:pStyle w:val="54"/>
        <w:ind w:firstLine="420"/>
      </w:pPr>
      <w:r>
        <w:rPr>
          <w:rFonts w:hint="eastAsia"/>
        </w:rPr>
        <w:t>本文件为</w:t>
      </w:r>
      <w:r>
        <w:t>T/BIAIM</w:t>
      </w:r>
      <w:r>
        <w:rPr>
          <w:rFonts w:hint="eastAsia"/>
        </w:rPr>
        <w:t xml:space="preserve"> XXXXX《产业链协同管控平台》系列标准的第1部分。</w:t>
      </w:r>
    </w:p>
    <w:p w14:paraId="006091FB">
      <w:pPr>
        <w:pStyle w:val="54"/>
        <w:ind w:firstLine="420"/>
      </w:pPr>
      <w:r>
        <w:t>请注意本文件的某些内容可能涉及专利。本文件的发布机构不承担识别专利的责任。</w:t>
      </w:r>
    </w:p>
    <w:p w14:paraId="13CCF665">
      <w:pPr>
        <w:pStyle w:val="54"/>
        <w:ind w:firstLine="420"/>
      </w:pPr>
      <w:r>
        <w:t>本文件由北京智能制造创新联盟提出并归口。</w:t>
      </w:r>
    </w:p>
    <w:p w14:paraId="39153A9D">
      <w:pPr>
        <w:pStyle w:val="54"/>
        <w:ind w:firstLine="420"/>
      </w:pPr>
      <w:r>
        <w:rPr>
          <w:rFonts w:hint="eastAsia"/>
        </w:rPr>
        <w:t>本文件起草单位：北京机械工业自动化研究所有限公司、海尔智家股份有限公司、同济大学、合肥通用机械研究院有限公司、中国海洋大学等。</w:t>
      </w:r>
    </w:p>
    <w:p w14:paraId="7E766A89">
      <w:pPr>
        <w:pStyle w:val="54"/>
        <w:ind w:firstLine="420"/>
      </w:pPr>
      <w:r>
        <w:rPr>
          <w:rFonts w:hint="eastAsia"/>
        </w:rPr>
        <w:t>本文件主要起草人：</w:t>
      </w:r>
      <w:bookmarkStart w:id="52" w:name="_GoBack"/>
      <w:bookmarkEnd w:id="52"/>
    </w:p>
    <w:p w14:paraId="1FE20375">
      <w:pPr>
        <w:pStyle w:val="54"/>
        <w:ind w:firstLine="420"/>
        <w:sectPr>
          <w:pgSz w:w="11906" w:h="16838"/>
          <w:pgMar w:top="1928" w:right="1134" w:bottom="1134" w:left="1134" w:header="1418" w:footer="1134" w:gutter="284"/>
          <w:pgNumType w:fmt="upperRoman"/>
          <w:cols w:space="425" w:num="1"/>
          <w:formProt w:val="0"/>
          <w:docGrid w:linePitch="312" w:charSpace="0"/>
        </w:sectPr>
      </w:pPr>
    </w:p>
    <w:bookmarkEnd w:id="3"/>
    <w:p w14:paraId="3CAB5261">
      <w:pPr>
        <w:pStyle w:val="57"/>
        <w:spacing w:after="360"/>
      </w:pPr>
      <w:bookmarkStart w:id="4" w:name="_Toc22057"/>
      <w:bookmarkStart w:id="5" w:name="BookMark3"/>
      <w:r>
        <w:rPr>
          <w:rFonts w:hint="eastAsia"/>
          <w:spacing w:val="320"/>
        </w:rPr>
        <w:t>引</w:t>
      </w:r>
      <w:r>
        <w:rPr>
          <w:rFonts w:hint="eastAsia"/>
        </w:rPr>
        <w:t>言</w:t>
      </w:r>
      <w:bookmarkEnd w:id="4"/>
    </w:p>
    <w:p w14:paraId="138439E5">
      <w:pPr>
        <w:pStyle w:val="54"/>
        <w:ind w:firstLine="420"/>
      </w:pPr>
      <w:r>
        <w:rPr>
          <w:rFonts w:hint="eastAsia"/>
        </w:rPr>
        <w:t>为了实现链主企业对产业链协同的高效管控，推动产业链各参与主体的协同运行与资源优化配置，制定产业链协同管控平台系列标准。</w:t>
      </w:r>
    </w:p>
    <w:p w14:paraId="52ADB3D2">
      <w:pPr>
        <w:pStyle w:val="54"/>
        <w:ind w:firstLine="420"/>
      </w:pPr>
      <w:r>
        <w:rPr>
          <w:rFonts w:hint="eastAsia"/>
        </w:rPr>
        <w:t>T/BIAIM XXXXX 系列标准制定的总体目标包括：</w:t>
      </w:r>
    </w:p>
    <w:p w14:paraId="6CD870E1">
      <w:pPr>
        <w:pStyle w:val="67"/>
      </w:pPr>
      <w:r>
        <w:rPr>
          <w:rFonts w:hint="eastAsia"/>
        </w:rPr>
        <w:t>实现以链主企业为核心的产业链协同管控平台的统一架构规范，解决协同效率低、平台间互操作性不足的问题，进一步提升产业链整体运行效率与价值实现能力。</w:t>
      </w:r>
    </w:p>
    <w:p w14:paraId="466F4FAA">
      <w:pPr>
        <w:pStyle w:val="67"/>
      </w:pPr>
      <w:r>
        <w:rPr>
          <w:rFonts w:hint="eastAsia"/>
        </w:rPr>
        <w:t>实现数据共享与资源协同的标准化管理，提升链主企业对产业链运行状态的可视化与决策能力，降低信息孤岛和重复建设成本。</w:t>
      </w:r>
    </w:p>
    <w:p w14:paraId="37500433">
      <w:pPr>
        <w:pStyle w:val="67"/>
      </w:pPr>
      <w:r>
        <w:rPr>
          <w:rFonts w:hint="eastAsia"/>
        </w:rPr>
        <w:t>实现协同管控能力的可复用与可扩展，支持产业链协同平台的持续演进和多场景应用。</w:t>
      </w:r>
    </w:p>
    <w:p w14:paraId="13BDF165">
      <w:pPr>
        <w:pStyle w:val="54"/>
        <w:ind w:firstLine="420"/>
      </w:pPr>
      <w:r>
        <w:rPr>
          <w:rFonts w:hint="eastAsia"/>
        </w:rPr>
        <w:t>产业链协同管控平台系列标准由两部分构成：</w:t>
      </w:r>
    </w:p>
    <w:p w14:paraId="78E27380">
      <w:pPr>
        <w:pStyle w:val="67"/>
      </w:pPr>
      <w:r>
        <w:rPr>
          <w:rFonts w:hint="eastAsia"/>
        </w:rPr>
        <w:t>第1部分：参考架构。主要描述产业链协同管控平台的总体架构、核心能力及其相互关系，用于规范平台设计、建设与运行管理。</w:t>
      </w:r>
    </w:p>
    <w:p w14:paraId="2275DE1A">
      <w:pPr>
        <w:pStyle w:val="67"/>
      </w:pPr>
      <w:r>
        <w:rPr>
          <w:rFonts w:hint="eastAsia"/>
        </w:rPr>
        <w:t>第2部分：集成接口。主要描述平台间的数据交换、服务接口和集成要求，用于指导平台互联互通与系统集成实施。</w:t>
      </w:r>
    </w:p>
    <w:p w14:paraId="1ED654CD">
      <w:pPr>
        <w:pStyle w:val="54"/>
        <w:ind w:firstLine="420"/>
      </w:pPr>
    </w:p>
    <w:p w14:paraId="1F800FA5">
      <w:pPr>
        <w:pStyle w:val="54"/>
        <w:ind w:firstLine="420"/>
        <w:sectPr>
          <w:pgSz w:w="11906" w:h="16838"/>
          <w:pgMar w:top="1928" w:right="1134" w:bottom="1134" w:left="1134" w:header="1418" w:footer="1134" w:gutter="284"/>
          <w:pgNumType w:fmt="upperRoman"/>
          <w:cols w:space="425" w:num="1"/>
          <w:formProt w:val="0"/>
          <w:docGrid w:linePitch="312" w:charSpace="0"/>
        </w:sectPr>
      </w:pPr>
    </w:p>
    <w:bookmarkEnd w:id="5"/>
    <w:p w14:paraId="0EE4F83F">
      <w:pPr>
        <w:spacing w:line="20" w:lineRule="exact"/>
        <w:jc w:val="center"/>
        <w:rPr>
          <w:rFonts w:hint="eastAsia" w:ascii="黑体" w:hAnsi="黑体" w:eastAsia="黑体"/>
          <w:sz w:val="32"/>
          <w:szCs w:val="32"/>
        </w:rPr>
      </w:pPr>
      <w:bookmarkStart w:id="6" w:name="BookMark4"/>
    </w:p>
    <w:p w14:paraId="0114516C">
      <w:pPr>
        <w:spacing w:line="20" w:lineRule="exact"/>
        <w:jc w:val="center"/>
        <w:rPr>
          <w:rFonts w:hint="eastAsia" w:ascii="黑体" w:hAnsi="黑体" w:eastAsia="黑体"/>
          <w:sz w:val="32"/>
          <w:szCs w:val="32"/>
        </w:rPr>
      </w:pPr>
    </w:p>
    <w:sdt>
      <w:sdtPr>
        <w:tag w:val="NEW_STAND_NAME"/>
        <w:id w:val="595910757"/>
        <w:lock w:val="sdtLocked"/>
        <w:placeholder>
          <w:docPart w:val="{0919d666-7bc4-47f9-80a8-b737947a60ab}"/>
        </w:placeholder>
      </w:sdtPr>
      <w:sdtContent>
        <w:p w14:paraId="0384491F">
          <w:pPr>
            <w:pStyle w:val="71"/>
            <w:spacing w:before="240" w:beforeLines="100" w:after="528" w:afterLines="220"/>
            <w:rPr>
              <w:rFonts w:hint="eastAsia"/>
            </w:rPr>
          </w:pPr>
          <w:bookmarkStart w:id="7" w:name="NEW_STAND_NAME"/>
          <w:r>
            <w:rPr>
              <w:rFonts w:hint="eastAsia"/>
            </w:rPr>
            <w:t>产业链协同管控平台 第2部分：集成接口</w:t>
          </w:r>
        </w:p>
      </w:sdtContent>
    </w:sdt>
    <w:bookmarkEnd w:id="7"/>
    <w:p w14:paraId="04F5D62D">
      <w:pPr>
        <w:pStyle w:val="62"/>
        <w:spacing w:before="240" w:after="240"/>
      </w:pPr>
      <w:bookmarkStart w:id="8" w:name="_Toc26986771"/>
      <w:bookmarkStart w:id="9" w:name="_Toc24884211"/>
      <w:bookmarkStart w:id="10" w:name="_Toc26648465"/>
      <w:bookmarkStart w:id="11" w:name="_Toc17233325"/>
      <w:bookmarkStart w:id="12" w:name="_Toc26718930"/>
      <w:bookmarkStart w:id="13" w:name="_Toc97192964"/>
      <w:bookmarkStart w:id="14" w:name="_Toc26986530"/>
      <w:bookmarkStart w:id="15" w:name="_Toc17233333"/>
      <w:bookmarkStart w:id="16" w:name="_Toc24884218"/>
      <w:bookmarkStart w:id="17" w:name="_Toc18804"/>
      <w:r>
        <w:rPr>
          <w:rFonts w:hint="eastAsia"/>
        </w:rPr>
        <w:t>范围</w:t>
      </w:r>
      <w:bookmarkEnd w:id="8"/>
      <w:bookmarkEnd w:id="9"/>
      <w:bookmarkEnd w:id="10"/>
      <w:bookmarkEnd w:id="11"/>
      <w:bookmarkEnd w:id="12"/>
      <w:bookmarkEnd w:id="13"/>
      <w:bookmarkEnd w:id="14"/>
      <w:bookmarkEnd w:id="15"/>
      <w:bookmarkEnd w:id="16"/>
      <w:bookmarkEnd w:id="17"/>
    </w:p>
    <w:p w14:paraId="662625E4">
      <w:pPr>
        <w:pStyle w:val="54"/>
        <w:ind w:firstLine="420"/>
      </w:pPr>
      <w:bookmarkStart w:id="18" w:name="_Toc24884212"/>
      <w:bookmarkStart w:id="19" w:name="_Toc24884219"/>
      <w:bookmarkStart w:id="20" w:name="_Toc17233334"/>
      <w:bookmarkStart w:id="21" w:name="_Toc17233326"/>
      <w:bookmarkStart w:id="22" w:name="_Toc26648466"/>
      <w:r>
        <w:rPr>
          <w:rFonts w:hint="eastAsia"/>
        </w:rPr>
        <w:t>本文件规定了产业链协同管控平台的集成对象分类、集成框架、接口模型及集成接口的通用要求，明确平台与产业链内外各类系统、平台、企业及服务之间的标准化集成交互方式。</w:t>
      </w:r>
    </w:p>
    <w:p w14:paraId="60887677">
      <w:pPr>
        <w:pStyle w:val="54"/>
        <w:ind w:firstLine="420"/>
      </w:pPr>
      <w:r>
        <w:rPr>
          <w:rFonts w:hint="eastAsia"/>
        </w:rPr>
        <w:t>本文件适用于产业链协同管控平台在规划设计、系统建设、接口开发、系统对接及运行维护过程中的集成接口设计与实现。</w:t>
      </w:r>
    </w:p>
    <w:p w14:paraId="6E35AB6A">
      <w:pPr>
        <w:pStyle w:val="62"/>
        <w:spacing w:before="240" w:after="240"/>
      </w:pPr>
      <w:bookmarkStart w:id="23" w:name="_Toc11106"/>
      <w:bookmarkStart w:id="24" w:name="_Toc26986772"/>
      <w:bookmarkStart w:id="25" w:name="_Toc97192965"/>
      <w:bookmarkStart w:id="26" w:name="_Toc26718931"/>
      <w:bookmarkStart w:id="27" w:name="_Toc26986531"/>
      <w:r>
        <w:rPr>
          <w:rFonts w:hint="eastAsia"/>
        </w:rPr>
        <w:t>规范性引用文件</w:t>
      </w:r>
      <w:bookmarkEnd w:id="18"/>
      <w:bookmarkEnd w:id="19"/>
      <w:bookmarkEnd w:id="20"/>
      <w:bookmarkEnd w:id="21"/>
      <w:bookmarkEnd w:id="22"/>
      <w:bookmarkEnd w:id="23"/>
      <w:bookmarkEnd w:id="24"/>
      <w:bookmarkEnd w:id="25"/>
      <w:bookmarkEnd w:id="26"/>
      <w:bookmarkEnd w:id="27"/>
    </w:p>
    <w:sdt>
      <w:sdtPr>
        <w:rPr>
          <w:rFonts w:hint="eastAsia"/>
        </w:rPr>
        <w:id w:val="715848253"/>
        <w:placeholder>
          <w:docPart w:val="{da0c867c-a3ed-4e05-8e69-98e686e4b70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BFDE8D6">
          <w:pPr>
            <w:pStyle w:val="54"/>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6DA1FCC">
      <w:pPr>
        <w:pStyle w:val="54"/>
        <w:ind w:firstLine="420"/>
      </w:pPr>
      <w:r>
        <w:rPr>
          <w:rFonts w:hint="eastAsia"/>
        </w:rPr>
        <w:t>GB/T 25469-2010  制造业产业链协作平台功能规范</w:t>
      </w:r>
    </w:p>
    <w:p w14:paraId="2902CEF2">
      <w:pPr>
        <w:pStyle w:val="62"/>
        <w:spacing w:before="240" w:after="240"/>
      </w:pPr>
      <w:bookmarkStart w:id="28" w:name="_Toc97192966"/>
      <w:bookmarkStart w:id="29" w:name="_Toc2646"/>
      <w:r>
        <w:rPr>
          <w:rFonts w:hint="eastAsia"/>
          <w:szCs w:val="21"/>
        </w:rPr>
        <w:t>术语和定义</w:t>
      </w:r>
      <w:bookmarkEnd w:id="28"/>
      <w:bookmarkEnd w:id="29"/>
    </w:p>
    <w:sdt>
      <w:sdtPr>
        <w:id w:val="-1909835108"/>
        <w:placeholder>
          <w:docPart w:val="{4dab3dd6-1aac-41d0-bfe7-2007150b0d3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BC9DAE0">
          <w:pPr>
            <w:pStyle w:val="54"/>
            <w:ind w:firstLine="420"/>
          </w:pPr>
          <w:bookmarkStart w:id="30" w:name="_Toc26986532"/>
          <w:bookmarkEnd w:id="30"/>
          <w:r>
            <w:t>下列术语和定义适用于本文件。</w:t>
          </w:r>
        </w:p>
      </w:sdtContent>
    </w:sdt>
    <w:p w14:paraId="39DEAFB9">
      <w:pPr>
        <w:pStyle w:val="79"/>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产业链 industrial chain</w:t>
      </w:r>
    </w:p>
    <w:p w14:paraId="2F0818DC">
      <w:pPr>
        <w:pStyle w:val="54"/>
        <w:ind w:firstLine="420"/>
      </w:pPr>
      <w:r>
        <w:rPr>
          <w:rFonts w:hint="eastAsia"/>
        </w:rPr>
        <w:t>一种或几种资源通过若干产业层次不断向下游产业转移直至到达消费者的路径。</w:t>
      </w:r>
    </w:p>
    <w:p w14:paraId="64AE82CA">
      <w:pPr>
        <w:pStyle w:val="54"/>
        <w:ind w:firstLine="420"/>
      </w:pPr>
      <w:r>
        <w:rPr>
          <w:rFonts w:hint="eastAsia"/>
        </w:rPr>
        <w:t>[来源：GB/T 25469-2010,2.1]</w:t>
      </w:r>
    </w:p>
    <w:p w14:paraId="15DC7B8B">
      <w:pPr>
        <w:pStyle w:val="79"/>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链主企业  c</w:t>
      </w:r>
      <w:r>
        <w:rPr>
          <w:rFonts w:ascii="黑体" w:hAnsi="黑体" w:eastAsia="黑体"/>
        </w:rPr>
        <w:t xml:space="preserve">hain </w:t>
      </w:r>
      <w:r>
        <w:rPr>
          <w:rFonts w:hint="eastAsia" w:ascii="黑体" w:hAnsi="黑体" w:eastAsia="黑体"/>
        </w:rPr>
        <w:t>m</w:t>
      </w:r>
      <w:r>
        <w:rPr>
          <w:rFonts w:ascii="黑体" w:hAnsi="黑体" w:eastAsia="黑体"/>
        </w:rPr>
        <w:t xml:space="preserve">aster </w:t>
      </w:r>
      <w:r>
        <w:rPr>
          <w:rFonts w:hint="eastAsia" w:ascii="黑体" w:hAnsi="黑体" w:eastAsia="黑体"/>
        </w:rPr>
        <w:t>e</w:t>
      </w:r>
      <w:r>
        <w:rPr>
          <w:rFonts w:ascii="黑体" w:hAnsi="黑体" w:eastAsia="黑体"/>
        </w:rPr>
        <w:t>nterprises</w:t>
      </w:r>
    </w:p>
    <w:p w14:paraId="467C3626">
      <w:pPr>
        <w:pStyle w:val="54"/>
        <w:ind w:firstLine="420"/>
      </w:pPr>
      <w:r>
        <w:rPr>
          <w:rFonts w:hint="eastAsia"/>
        </w:rPr>
        <w:t>在整个产业链中占据优势地位，对产业链大部分企业的资源配置和应用具有较强的直接或间接影响力，并且对产业链的价值实现予以最强烈关注，肩负着提升产业链绩效重任的核心企业。</w:t>
      </w:r>
    </w:p>
    <w:p w14:paraId="2636218E">
      <w:pPr>
        <w:pStyle w:val="79"/>
        <w:ind w:left="420" w:hanging="420" w:hangingChars="200"/>
        <w:rPr>
          <w:rFonts w:hint="eastAsia" w:ascii="黑体" w:hAnsi="黑体" w:eastAsia="黑体"/>
        </w:rPr>
      </w:pPr>
      <w:r>
        <w:rPr>
          <w:rFonts w:ascii="黑体" w:hAnsi="黑体" w:eastAsia="黑体"/>
        </w:rPr>
        <w:br w:type="textWrapping"/>
      </w:r>
      <w:r>
        <w:rPr>
          <w:rFonts w:ascii="黑体" w:hAnsi="黑体" w:eastAsia="黑体"/>
        </w:rPr>
        <w:t>产业链协同管控平台</w:t>
      </w:r>
      <w:r>
        <w:rPr>
          <w:rFonts w:hint="eastAsia" w:ascii="黑体" w:hAnsi="黑体" w:eastAsia="黑体"/>
        </w:rPr>
        <w:t xml:space="preserve"> </w:t>
      </w:r>
      <w:r>
        <w:rPr>
          <w:rFonts w:ascii="黑体" w:hAnsi="黑体" w:eastAsia="黑体"/>
        </w:rPr>
        <w:t>industrial chain collaborative control platform</w:t>
      </w:r>
    </w:p>
    <w:p w14:paraId="05B1FE96">
      <w:pPr>
        <w:pStyle w:val="54"/>
        <w:ind w:firstLine="420"/>
      </w:pPr>
      <w:r>
        <w:t>面向产业链多主体协同运行与统一管控需求，支撑跨企业、跨系统、跨层级的信息共享、业务协同、资源配置和风险管控的综合性平台。</w:t>
      </w:r>
    </w:p>
    <w:p w14:paraId="1880643C">
      <w:pPr>
        <w:pStyle w:val="79"/>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集成接口 </w:t>
      </w:r>
      <w:r>
        <w:rPr>
          <w:rFonts w:ascii="黑体" w:hAnsi="黑体" w:eastAsia="黑体"/>
        </w:rPr>
        <w:t>integrated interface</w:t>
      </w:r>
    </w:p>
    <w:p w14:paraId="10921DED">
      <w:pPr>
        <w:pStyle w:val="54"/>
        <w:ind w:firstLine="420"/>
      </w:pPr>
      <w:r>
        <w:t>用于实现产业链协同管控平台与外部系统、平台、设备或服务之间数据交换、功能调用和状态协同的标准化交互机制。</w:t>
      </w:r>
    </w:p>
    <w:p w14:paraId="5092D58D">
      <w:pPr>
        <w:pStyle w:val="62"/>
        <w:spacing w:before="240" w:after="240"/>
      </w:pPr>
      <w:bookmarkStart w:id="31" w:name="_Toc30382"/>
      <w:r>
        <w:rPr>
          <w:rFonts w:hint="eastAsia"/>
        </w:rPr>
        <w:t>缩略语</w:t>
      </w:r>
      <w:bookmarkEnd w:id="31"/>
    </w:p>
    <w:p w14:paraId="272E8070">
      <w:pPr>
        <w:pStyle w:val="54"/>
        <w:ind w:firstLine="420"/>
        <w:rPr>
          <w:rFonts w:hint="eastAsia"/>
        </w:rPr>
      </w:pPr>
      <w:r>
        <w:rPr>
          <w:rFonts w:hint="eastAsia"/>
        </w:rPr>
        <w:t>下列缩略语适用于本文件。</w:t>
      </w:r>
    </w:p>
    <w:p w14:paraId="2C1774DD">
      <w:pPr>
        <w:pStyle w:val="54"/>
        <w:ind w:firstLine="420"/>
      </w:pPr>
      <w:r>
        <w:rPr>
          <w:rFonts w:hint="eastAsia"/>
        </w:rPr>
        <w:t>API：应用程序编程接口（Application Programming Interface）</w:t>
      </w:r>
    </w:p>
    <w:p w14:paraId="1AEB18AE">
      <w:pPr>
        <w:pStyle w:val="54"/>
        <w:ind w:firstLine="420"/>
      </w:pPr>
      <w:r>
        <w:rPr>
          <w:rFonts w:hint="eastAsia"/>
        </w:rPr>
        <w:t>ERP：企业资源计划（Enterprise Resource Planning）</w:t>
      </w:r>
    </w:p>
    <w:p w14:paraId="481E8F3F">
      <w:pPr>
        <w:pStyle w:val="54"/>
        <w:ind w:firstLine="420"/>
        <w:rPr>
          <w:rFonts w:hint="eastAsia"/>
        </w:rPr>
      </w:pPr>
      <w:r>
        <w:rPr>
          <w:rFonts w:hint="eastAsia"/>
        </w:rPr>
        <w:t>MES：制造执行系统（Manufacturing Execution System）</w:t>
      </w:r>
    </w:p>
    <w:p w14:paraId="2369D426">
      <w:pPr>
        <w:pStyle w:val="54"/>
        <w:ind w:firstLine="420"/>
        <w:rPr>
          <w:rFonts w:hint="eastAsia"/>
          <w:lang w:val="en-US" w:eastAsia="zh-CN"/>
        </w:rPr>
      </w:pPr>
      <w:r>
        <w:rPr>
          <w:rFonts w:hint="eastAsia"/>
          <w:lang w:val="en-US" w:eastAsia="zh-CN"/>
        </w:rPr>
        <w:t>MQTT：消息队列遥测传输协议（Message Queuing Telemetry Transport）</w:t>
      </w:r>
    </w:p>
    <w:p w14:paraId="75E25EE0">
      <w:pPr>
        <w:pStyle w:val="54"/>
        <w:ind w:firstLine="420"/>
        <w:rPr>
          <w:rFonts w:hint="default"/>
          <w:lang w:val="en-US" w:eastAsia="zh-CN"/>
        </w:rPr>
      </w:pPr>
      <w:r>
        <w:rPr>
          <w:rFonts w:hint="default"/>
          <w:lang w:val="en-US" w:eastAsia="zh-CN"/>
        </w:rPr>
        <w:t>OPC UA</w:t>
      </w:r>
      <w:r>
        <w:rPr>
          <w:rFonts w:hint="eastAsia"/>
          <w:lang w:val="en-US" w:eastAsia="zh-CN"/>
        </w:rPr>
        <w:t>：开放平台通信统一架构（Open Platform Communications Unified Architecture）</w:t>
      </w:r>
    </w:p>
    <w:p w14:paraId="576A3B07">
      <w:pPr>
        <w:pStyle w:val="54"/>
        <w:ind w:firstLine="420"/>
        <w:rPr>
          <w:rFonts w:hint="eastAsia"/>
        </w:rPr>
      </w:pPr>
      <w:r>
        <w:rPr>
          <w:rFonts w:hint="eastAsia"/>
        </w:rPr>
        <w:t>PLM：产品生命周期管理（Product Lifecycle Management）</w:t>
      </w:r>
    </w:p>
    <w:p w14:paraId="4DAA591D">
      <w:pPr>
        <w:pStyle w:val="54"/>
        <w:ind w:firstLine="420"/>
        <w:rPr>
          <w:rFonts w:hint="eastAsia"/>
          <w:lang w:eastAsia="zh-CN"/>
        </w:rPr>
      </w:pPr>
      <w:r>
        <w:rPr>
          <w:rFonts w:hint="eastAsia"/>
        </w:rPr>
        <w:t>Protobuf</w:t>
      </w:r>
      <w:r>
        <w:rPr>
          <w:rFonts w:hint="eastAsia"/>
          <w:lang w:eastAsia="zh-CN"/>
        </w:rPr>
        <w:t>：协议缓冲区（Protocol Buffers）</w:t>
      </w:r>
    </w:p>
    <w:p w14:paraId="388CA7D5">
      <w:pPr>
        <w:pStyle w:val="54"/>
        <w:ind w:firstLine="420"/>
        <w:rPr>
          <w:rFonts w:hint="eastAsia"/>
          <w:lang w:eastAsia="zh-CN"/>
        </w:rPr>
      </w:pPr>
      <w:r>
        <w:rPr>
          <w:rFonts w:hint="eastAsia"/>
          <w:lang w:eastAsia="zh-CN"/>
        </w:rPr>
        <w:t>RESTful：表述性状态转移（Representational State Transfer）</w:t>
      </w:r>
    </w:p>
    <w:p w14:paraId="21675EE6">
      <w:pPr>
        <w:pStyle w:val="54"/>
        <w:ind w:firstLine="420"/>
      </w:pPr>
      <w:r>
        <w:rPr>
          <w:rFonts w:hint="eastAsia"/>
        </w:rPr>
        <w:t>SCM：供应链管理（Supply Chain Management）</w:t>
      </w:r>
    </w:p>
    <w:p w14:paraId="15B071DA">
      <w:pPr>
        <w:pStyle w:val="54"/>
        <w:ind w:firstLine="420"/>
        <w:rPr>
          <w:rFonts w:hint="eastAsia"/>
        </w:rPr>
      </w:pPr>
      <w:r>
        <w:rPr>
          <w:rFonts w:hint="eastAsia"/>
        </w:rPr>
        <w:t>HTTP：超文本传输协议（Hypertext Transfer Protocol）</w:t>
      </w:r>
    </w:p>
    <w:p w14:paraId="142E3A22">
      <w:pPr>
        <w:pStyle w:val="54"/>
        <w:ind w:firstLine="420"/>
        <w:rPr>
          <w:rFonts w:hint="default" w:eastAsia="宋体"/>
          <w:lang w:val="en-US" w:eastAsia="zh-CN"/>
        </w:rPr>
      </w:pPr>
      <w:r>
        <w:rPr>
          <w:rFonts w:hint="eastAsia"/>
          <w:lang w:val="en-US" w:eastAsia="zh-CN"/>
        </w:rPr>
        <w:t>HTTPS：超文本传输安全协议（Hypertext Transfer Protocol Secure）</w:t>
      </w:r>
    </w:p>
    <w:p w14:paraId="2D0C78EF">
      <w:pPr>
        <w:pStyle w:val="54"/>
        <w:ind w:firstLine="420"/>
      </w:pPr>
      <w:r>
        <w:rPr>
          <w:rFonts w:hint="eastAsia"/>
        </w:rPr>
        <w:t>JSON：脚本对象标注法（JavaScript Object Notation）</w:t>
      </w:r>
    </w:p>
    <w:p w14:paraId="52884044">
      <w:pPr>
        <w:pStyle w:val="54"/>
        <w:ind w:firstLine="420"/>
      </w:pPr>
      <w:r>
        <w:t>WMS</w:t>
      </w:r>
      <w:r>
        <w:rPr>
          <w:rFonts w:hint="eastAsia"/>
        </w:rPr>
        <w:t>：仓库管理系统（</w:t>
      </w:r>
      <w:r>
        <w:t>Warehouse Management System</w:t>
      </w:r>
      <w:r>
        <w:rPr>
          <w:rFonts w:hint="eastAsia"/>
        </w:rPr>
        <w:t>）</w:t>
      </w:r>
    </w:p>
    <w:p w14:paraId="50164991">
      <w:pPr>
        <w:pStyle w:val="54"/>
        <w:ind w:firstLine="420"/>
      </w:pPr>
      <w:r>
        <w:rPr>
          <w:rFonts w:hint="eastAsia"/>
        </w:rPr>
        <w:t>XML：可扩展置标语言（eXtensible Markup Language）</w:t>
      </w:r>
    </w:p>
    <w:p w14:paraId="677F526E">
      <w:pPr>
        <w:pStyle w:val="62"/>
        <w:spacing w:before="240" w:after="240"/>
      </w:pPr>
      <w:bookmarkStart w:id="32" w:name="_Toc4029"/>
      <w:r>
        <w:t>产业链协同管控平台集成对象分类</w:t>
      </w:r>
      <w:bookmarkEnd w:id="32"/>
    </w:p>
    <w:p w14:paraId="1A8A35AF">
      <w:pPr>
        <w:pStyle w:val="63"/>
        <w:spacing w:before="120" w:after="120"/>
      </w:pPr>
      <w:bookmarkStart w:id="33" w:name="_Toc32056"/>
      <w:r>
        <w:rPr>
          <w:rFonts w:hint="eastAsia"/>
        </w:rPr>
        <w:t>分类原则</w:t>
      </w:r>
      <w:bookmarkEnd w:id="33"/>
    </w:p>
    <w:p w14:paraId="4016E353">
      <w:pPr>
        <w:pStyle w:val="54"/>
        <w:ind w:firstLine="420"/>
        <w:rPr>
          <w:rFonts w:hint="eastAsia"/>
        </w:rPr>
      </w:pPr>
      <w:r>
        <w:t>集成对象分类应遵循以下原则，确保分类体系支撑产业链全场景协同需求</w:t>
      </w:r>
      <w:r>
        <w:rPr>
          <w:rFonts w:hint="eastAsia"/>
        </w:rPr>
        <w:t>：</w:t>
      </w:r>
    </w:p>
    <w:p w14:paraId="491BCAE2">
      <w:pPr>
        <w:pStyle w:val="70"/>
        <w:rPr>
          <w:rFonts w:hint="eastAsia"/>
        </w:rPr>
      </w:pPr>
      <w:r>
        <w:rPr>
          <w:rFonts w:hint="eastAsia"/>
        </w:rPr>
        <w:t>面向产业链协同管控整体需求：分类需覆盖从原材料供应到终端服务的全产业链环节，满足多主体、多场景的协同管控目标，避免局部化、碎片化分类。</w:t>
      </w:r>
    </w:p>
    <w:p w14:paraId="4A4310E0">
      <w:pPr>
        <w:pStyle w:val="70"/>
        <w:rPr>
          <w:rFonts w:hint="eastAsia"/>
        </w:rPr>
      </w:pPr>
      <w:r>
        <w:rPr>
          <w:rFonts w:hint="eastAsia"/>
        </w:rPr>
        <w:t>体现跨主体、跨系统协同特征：分类需突出产业链横向主体间的业务联动与纵向系统间的能力贯通，适配跨企业、跨层级的协同场景。</w:t>
      </w:r>
    </w:p>
    <w:p w14:paraId="09EB33E0">
      <w:pPr>
        <w:pStyle w:val="70"/>
        <w:rPr>
          <w:rFonts w:hint="eastAsia"/>
        </w:rPr>
      </w:pPr>
      <w:r>
        <w:rPr>
          <w:rFonts w:hint="eastAsia"/>
        </w:rPr>
        <w:t>兼顾业务协同、资源协同与管理协同：分类需包含支撑生产运行的业务系统、支撑资源配置的能力载体、支撑风险管控的管理工具，实现业务、资源与管理的深度融合。</w:t>
      </w:r>
    </w:p>
    <w:p w14:paraId="433A3E62">
      <w:pPr>
        <w:pStyle w:val="70"/>
      </w:pPr>
      <w:r>
        <w:rPr>
          <w:rFonts w:hint="eastAsia"/>
        </w:rPr>
        <w:t>分类清晰、边界明确、覆盖全面：各类别需具备唯一的业务定位与技术边界，无交叉重叠，同时覆盖产业链协同所需的全部核心对象，避免遗漏关键场景。</w:t>
      </w:r>
    </w:p>
    <w:p w14:paraId="14F51CB9">
      <w:pPr>
        <w:pStyle w:val="63"/>
        <w:spacing w:before="120" w:after="120"/>
      </w:pPr>
      <w:bookmarkStart w:id="34" w:name="_Toc20991"/>
      <w:r>
        <w:rPr>
          <w:rFonts w:hint="eastAsia"/>
        </w:rPr>
        <w:t>核心类别及定义</w:t>
      </w:r>
      <w:bookmarkEnd w:id="34"/>
    </w:p>
    <w:p w14:paraId="6D4C030F">
      <w:pPr>
        <w:pStyle w:val="54"/>
        <w:ind w:firstLine="420"/>
        <w:rPr>
          <w:rFonts w:hint="eastAsia"/>
        </w:rPr>
      </w:pPr>
      <w:r>
        <w:rPr>
          <w:rFonts w:hint="eastAsia"/>
        </w:rPr>
        <w:t>产业链协同管控平台集成对象主要分为以下五类，各类别承载不同的协同价值与技术定位：</w:t>
      </w:r>
    </w:p>
    <w:p w14:paraId="181E4B91">
      <w:pPr>
        <w:pStyle w:val="70"/>
        <w:numPr>
          <w:ilvl w:val="0"/>
          <w:numId w:val="10"/>
        </w:numPr>
        <w:rPr>
          <w:rFonts w:hint="eastAsia"/>
        </w:rPr>
      </w:pPr>
      <w:r>
        <w:rPr>
          <w:rFonts w:hint="eastAsia"/>
        </w:rPr>
        <w:t>产业链业务系统类集成对象：支撑产业链各主体核心业务运行的信息系统，是业务流程数字化的核心载体。包括但不限于ERP、MES、PLM、SCM、WMS、CRM等。此类对象直接承载生产、采购、销售、仓储等核心业务流程，是产业链业务协同的基础单元。</w:t>
      </w:r>
    </w:p>
    <w:p w14:paraId="5D45A98E">
      <w:pPr>
        <w:pStyle w:val="70"/>
        <w:rPr>
          <w:rFonts w:hint="eastAsia"/>
        </w:rPr>
      </w:pPr>
      <w:r>
        <w:rPr>
          <w:rFonts w:hint="eastAsia"/>
        </w:rPr>
        <w:t>协同服务与能力类集成对象：为产业链协同提供算法、模型、分析、决策支持能力的系统与服务，是平台智能化协同的核心支撑。包括但不限于人工智能算法引擎、数字孪生建模仿真工具、供应链风险预警模型、产能优化调度系统、需求预测分析平台等。此类对象通过封装专业能力，为跨主体协同提供可复用的技术工具与决策依据。</w:t>
      </w:r>
    </w:p>
    <w:p w14:paraId="5486890C">
      <w:pPr>
        <w:pStyle w:val="70"/>
        <w:rPr>
          <w:rFonts w:hint="eastAsia"/>
        </w:rPr>
      </w:pPr>
      <w:r>
        <w:rPr>
          <w:rFonts w:hint="eastAsia"/>
        </w:rPr>
        <w:t>数据与信息资源类集成对象：提供产业链协同所需数据资源的系统与平台，是数据驱动协同的核心要素。包括但不限于业务交易数据库、设备状态采集平台、产业链数据共享中台、数据治理与标签管理系统、主数据管理平台等。此类对象负责数据的汇聚、清洗、存储与分发，保障跨主体数据交互的一致性与可信性。</w:t>
      </w:r>
    </w:p>
    <w:p w14:paraId="484470BE">
      <w:pPr>
        <w:pStyle w:val="70"/>
        <w:rPr>
          <w:rFonts w:hint="eastAsia"/>
        </w:rPr>
      </w:pPr>
      <w:r>
        <w:rPr>
          <w:rFonts w:hint="eastAsia"/>
        </w:rPr>
        <w:t>产业链运行与监测类集成对象：用于产业链运行状态监测、风险预警、绩效评估的系统与平台，是产业链透明化管控的核心手段。包括但不限于产业链运行指标看板、供应商风险监测系统、订单履约进度跟踪平台、产能利用率分析系统、碳排放监测与核算工具等。此类对象通过多维度数据的实时感知与分析，实现产业链运行状态的可视、可管、可控。</w:t>
      </w:r>
    </w:p>
    <w:p w14:paraId="283A218D">
      <w:pPr>
        <w:pStyle w:val="70"/>
        <w:rPr>
          <w:rFonts w:hint="eastAsia"/>
        </w:rPr>
      </w:pPr>
      <w:r>
        <w:rPr>
          <w:rFonts w:hint="eastAsia"/>
        </w:rPr>
        <w:t>安全与治理支撑类集成对象：提供身份认证、权限控制、审计追溯和运行保障的系统与平台，是产业链可信协同的核心保障。包括但不限于统一身份认证平台、细粒度权限管控系统、操作日志审计平台、数据加密与脱敏工具、容灾备份与恢复系统等。此类对象负责构建安全可信的协同环境，防范数据泄露、越权访问等风险。</w:t>
      </w:r>
    </w:p>
    <w:p w14:paraId="5925E22E">
      <w:pPr>
        <w:pStyle w:val="63"/>
        <w:spacing w:before="120" w:after="120"/>
      </w:pPr>
      <w:bookmarkStart w:id="35" w:name="_Toc26226"/>
      <w:r>
        <w:rPr>
          <w:rFonts w:hint="eastAsia"/>
        </w:rPr>
        <w:t>各类对象集成要求</w:t>
      </w:r>
      <w:bookmarkEnd w:id="35"/>
    </w:p>
    <w:p w14:paraId="795C26B3">
      <w:pPr>
        <w:pStyle w:val="54"/>
        <w:ind w:firstLine="420"/>
        <w:rPr>
          <w:rFonts w:hint="eastAsia"/>
        </w:rPr>
      </w:pPr>
      <w:r>
        <w:rPr>
          <w:rFonts w:hint="eastAsia"/>
        </w:rPr>
        <w:t>平台与各类集成对象的接口设计应满足以下差异化要求：</w:t>
      </w:r>
    </w:p>
    <w:p w14:paraId="5F459E9B">
      <w:pPr>
        <w:pStyle w:val="70"/>
        <w:numPr>
          <w:ilvl w:val="0"/>
          <w:numId w:val="11"/>
        </w:numPr>
        <w:rPr>
          <w:rFonts w:hint="eastAsia"/>
        </w:rPr>
      </w:pPr>
      <w:r>
        <w:rPr>
          <w:rFonts w:hint="eastAsia"/>
        </w:rPr>
        <w:t>产业链业务系统类集成对象：接口需支持业务流程的无缝衔接，如 ERP 与 MES 间的生产计划同步、PLM 与 SCM 间的物料需求传递，确保业务指令的实时性与准确性；需适配不同厂商系统的协议差异，通过协议转换实现跨系统互操作；</w:t>
      </w:r>
    </w:p>
    <w:p w14:paraId="0CE28AA3">
      <w:pPr>
        <w:pStyle w:val="70"/>
        <w:rPr>
          <w:rFonts w:hint="eastAsia"/>
        </w:rPr>
      </w:pPr>
      <w:r>
        <w:rPr>
          <w:rFonts w:hint="eastAsia"/>
        </w:rPr>
        <w:t>协同服务与能力类集成对象：接口需支持能力的标准化封装与调用，如算法引擎接口需提供模型训练、推理调度的标准化参数，数字孪生接口需支持模型的实时渲染与数据驱动；需支持异步调用模式，适配复杂计算场景的响应需求；</w:t>
      </w:r>
    </w:p>
    <w:p w14:paraId="69ED3906">
      <w:pPr>
        <w:pStyle w:val="70"/>
        <w:rPr>
          <w:rFonts w:hint="eastAsia"/>
        </w:rPr>
      </w:pPr>
      <w:r>
        <w:rPr>
          <w:rFonts w:hint="eastAsia"/>
        </w:rPr>
        <w:t>数据与信息资源类集成对象：接口需支持结构化与非结构化数据的高效传输，如设备时序数据、产品图纸文件等；需实现数据的增量同步与全量备份，保障数据一致性；需嵌入数据校验与异常重试机制，避免数据丢失与错误；</w:t>
      </w:r>
    </w:p>
    <w:p w14:paraId="4CB182A8">
      <w:pPr>
        <w:pStyle w:val="70"/>
        <w:rPr>
          <w:rFonts w:hint="eastAsia"/>
        </w:rPr>
      </w:pPr>
      <w:r>
        <w:rPr>
          <w:rFonts w:hint="eastAsia"/>
        </w:rPr>
        <w:t>产业链运行与监测类集成对象：接口需支持高频率、低延迟的数据采集；需支持事件触发式数据推送，如风险预警信息的实时告警；需提供标准化的指标定义与计算规则，保障跨主体监测结果的可比性；</w:t>
      </w:r>
    </w:p>
    <w:p w14:paraId="1D62F540">
      <w:pPr>
        <w:pStyle w:val="70"/>
      </w:pPr>
      <w:r>
        <w:rPr>
          <w:rFonts w:hint="eastAsia"/>
        </w:rPr>
        <w:t>安全与治理支撑类集成对象：接口需支持多维度身份认证，如基于数字证书、API 密钥的双重认证；需实现细粒度权限管控，如基于角色、场景、数据范围的三重权限校验；需留存完整的操作日志，日志内容包含访问主体、操作时间、请求参数、处理结果等。</w:t>
      </w:r>
    </w:p>
    <w:p w14:paraId="7867595C">
      <w:pPr>
        <w:pStyle w:val="62"/>
        <w:spacing w:before="240" w:after="240"/>
      </w:pPr>
      <w:bookmarkStart w:id="36" w:name="_Toc29042"/>
      <w:r>
        <w:t>产业链协同管控平台集成框架</w:t>
      </w:r>
      <w:bookmarkEnd w:id="36"/>
    </w:p>
    <w:p w14:paraId="5458A3E2">
      <w:pPr>
        <w:pStyle w:val="63"/>
        <w:spacing w:before="120" w:after="120"/>
      </w:pPr>
      <w:bookmarkStart w:id="37" w:name="_Toc13662"/>
      <w:r>
        <w:t>框架层级结构</w:t>
      </w:r>
      <w:bookmarkEnd w:id="37"/>
    </w:p>
    <w:p w14:paraId="66ABF06A">
      <w:pPr>
        <w:pStyle w:val="54"/>
        <w:ind w:firstLine="420"/>
        <w:rPr>
          <w:rFonts w:hint="eastAsia"/>
        </w:rPr>
      </w:pPr>
      <w:r>
        <w:rPr>
          <w:rFonts w:hint="eastAsia"/>
        </w:rPr>
        <w:t>产业链协同管控平台集成框架由平台核心层、接口适配层和协同对象层三层构成，各层级通过标准化接口实现能力贯通与价值传递，具体结构如下：</w:t>
      </w:r>
    </w:p>
    <w:p w14:paraId="6D330D50">
      <w:pPr>
        <w:pStyle w:val="70"/>
        <w:numPr>
          <w:ilvl w:val="0"/>
          <w:numId w:val="12"/>
        </w:numPr>
        <w:rPr>
          <w:rFonts w:hint="eastAsia"/>
        </w:rPr>
      </w:pPr>
      <w:r>
        <w:rPr>
          <w:rFonts w:hint="eastAsia"/>
        </w:rPr>
        <w:t>平台核心层：负责协同管控业务逻辑、决策分析与统一管理。该层包含产业链协同管控引擎、数据中台、决策分析模块与全局配置中心，通过整合多源数据与专业算法，实现跨主体业务流程的全局优化与资源的动态调度。平台核心层向下通过标准化接口对接接口适配层，向上支撑各类业务应用的快速构建；</w:t>
      </w:r>
    </w:p>
    <w:p w14:paraId="5A92AB19">
      <w:pPr>
        <w:pStyle w:val="70"/>
        <w:rPr>
          <w:rFonts w:hint="eastAsia"/>
        </w:rPr>
      </w:pPr>
      <w:r>
        <w:rPr>
          <w:rFonts w:hint="eastAsia"/>
        </w:rPr>
        <w:t>接口适配层：负责协议转换、数据映射和功能适配。该层包含协议适配模块、数据映射引擎、格式转换工具与异常处理组件，能够适配 HTTP/HTTPS、MQTT、OPC UA 等多种传输协议，实现不同系统间数据元的语义匹配与格式转换，同时具备异常捕获、重试与降级能力，保障集成过程的稳定性；</w:t>
      </w:r>
    </w:p>
    <w:p w14:paraId="76BA14B4">
      <w:pPr>
        <w:pStyle w:val="70"/>
      </w:pPr>
      <w:r>
        <w:rPr>
          <w:rFonts w:hint="eastAsia"/>
        </w:rPr>
        <w:t>协同对象层：通过接口适配层与平台核心层连接，实现产业链资源的统一接入与协同调用。协同对象层的接入应遵循“即插即用”原则，通过标准化接口降低集成复杂度，支撑产业链主体的动态加入与退出。</w:t>
      </w:r>
    </w:p>
    <w:p w14:paraId="5BB9392C">
      <w:pPr>
        <w:pStyle w:val="70"/>
        <w:numPr>
          <w:ilvl w:val="0"/>
          <w:numId w:val="0"/>
        </w:numPr>
        <w:ind w:left="425"/>
      </w:pPr>
    </w:p>
    <w:p w14:paraId="6BD32985">
      <w:pPr>
        <w:pStyle w:val="54"/>
        <w:ind w:firstLine="199" w:firstLineChars="95"/>
        <w:jc w:val="center"/>
      </w:pPr>
      <w:r>
        <w:drawing>
          <wp:inline distT="0" distB="0" distL="0" distR="0">
            <wp:extent cx="3484880" cy="2731770"/>
            <wp:effectExtent l="0" t="0" r="5080" b="11430"/>
            <wp:docPr id="55841445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414452" name="图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506607" cy="2748802"/>
                    </a:xfrm>
                    <a:prstGeom prst="rect">
                      <a:avLst/>
                    </a:prstGeom>
                    <a:noFill/>
                  </pic:spPr>
                </pic:pic>
              </a:graphicData>
            </a:graphic>
          </wp:inline>
        </w:drawing>
      </w:r>
    </w:p>
    <w:p w14:paraId="1EECB9AC">
      <w:pPr>
        <w:pStyle w:val="65"/>
        <w:spacing w:before="120" w:after="120"/>
      </w:pPr>
      <w:r>
        <w:t>产业链协同管控平台集成框架</w:t>
      </w:r>
    </w:p>
    <w:p w14:paraId="5E0887AA">
      <w:pPr>
        <w:pStyle w:val="63"/>
        <w:spacing w:before="120" w:after="120"/>
      </w:pPr>
      <w:bookmarkStart w:id="38" w:name="_Toc16645"/>
      <w:r>
        <w:t>框架协同机制</w:t>
      </w:r>
      <w:bookmarkEnd w:id="38"/>
    </w:p>
    <w:p w14:paraId="752D10CB">
      <w:pPr>
        <w:pStyle w:val="54"/>
        <w:ind w:firstLine="420"/>
        <w:rPr>
          <w:rFonts w:hint="eastAsia"/>
        </w:rPr>
      </w:pPr>
      <w:r>
        <w:rPr>
          <w:rFonts w:hint="eastAsia"/>
        </w:rPr>
        <w:t>集成框架通过纵向贯通、横向联动与安全嵌入三类机制，实现产业链的高效协同：</w:t>
      </w:r>
    </w:p>
    <w:p w14:paraId="243FD44C">
      <w:pPr>
        <w:pStyle w:val="70"/>
        <w:numPr>
          <w:ilvl w:val="0"/>
          <w:numId w:val="13"/>
        </w:numPr>
      </w:pPr>
      <w:r>
        <w:rPr>
          <w:rFonts w:hint="eastAsia"/>
        </w:rPr>
        <w:t>纵向贯通机制：通过平台核心层、接口适配层与协同对象层的纵向接口，实现底层资源到上层应用的能力传递。</w:t>
      </w:r>
    </w:p>
    <w:p w14:paraId="5CEA2E4F">
      <w:pPr>
        <w:pStyle w:val="82"/>
        <w:rPr>
          <w:rFonts w:hint="eastAsia"/>
        </w:rPr>
      </w:pPr>
      <w:r>
        <w:rPr>
          <w:rFonts w:hint="eastAsia"/>
        </w:rPr>
        <w:t>例如设备状态数据通过协同对象层的采集接口接入，经接口适配层格式转换后进入平台核心层的数据中台，最终支撑业务应用层的产能监控与预测分析。</w:t>
      </w:r>
    </w:p>
    <w:p w14:paraId="0F0EE1A8">
      <w:pPr>
        <w:pStyle w:val="70"/>
      </w:pPr>
      <w:r>
        <w:rPr>
          <w:rFonts w:hint="eastAsia"/>
        </w:rPr>
        <w:t>横向联动机制：通过接口适配层的横向接口，实现同层级集成对象间的业务联动。</w:t>
      </w:r>
    </w:p>
    <w:p w14:paraId="1EFF8290">
      <w:pPr>
        <w:pStyle w:val="82"/>
        <w:rPr>
          <w:rFonts w:hint="eastAsia"/>
        </w:rPr>
      </w:pPr>
      <w:r>
        <w:rPr>
          <w:rFonts w:hint="eastAsia"/>
        </w:rPr>
        <w:t>例如当制造商的 MES 触发生产计划变更时，通过接口适配层的事件推送接口，同步更新供应商的 SCM 与物流企业的 WMS，实现订单、物料与仓储的协同调整。</w:t>
      </w:r>
    </w:p>
    <w:p w14:paraId="69B1E4A5">
      <w:pPr>
        <w:pStyle w:val="70"/>
      </w:pPr>
      <w:r>
        <w:rPr>
          <w:rFonts w:hint="eastAsia"/>
        </w:rPr>
        <w:t>安全嵌入机制：在各层级接口中嵌入安全与治理能力，构建可信协同环境。</w:t>
      </w:r>
    </w:p>
    <w:p w14:paraId="5C71B90A">
      <w:pPr>
        <w:pStyle w:val="82"/>
        <w:rPr>
          <w:rFonts w:hint="eastAsia"/>
        </w:rPr>
      </w:pPr>
      <w:r>
        <w:rPr>
          <w:rFonts w:hint="eastAsia"/>
        </w:rPr>
        <w:t>例如接口适配层的身份认证模块对所有接入请求进行鉴权，平台核心层的日志审计模块记录全链路操作行为，协同对象层的加密组件保障数据传输与存储的安全性。安全嵌入机制覆盖集成全流程，防范协同过程中的各类风险。</w:t>
      </w:r>
    </w:p>
    <w:p w14:paraId="7A9BB3C1">
      <w:pPr>
        <w:pStyle w:val="62"/>
        <w:spacing w:before="240" w:after="240"/>
      </w:pPr>
      <w:bookmarkStart w:id="39" w:name="_Toc17721"/>
      <w:r>
        <w:rPr>
          <w:rFonts w:hint="eastAsia"/>
          <w:lang w:val="en-US" w:eastAsia="zh-CN"/>
        </w:rPr>
        <w:t>集成</w:t>
      </w:r>
      <w:r>
        <w:rPr>
          <w:rFonts w:hint="eastAsia"/>
        </w:rPr>
        <w:t>接口模型</w:t>
      </w:r>
      <w:bookmarkEnd w:id="39"/>
    </w:p>
    <w:p w14:paraId="424BDCC3">
      <w:pPr>
        <w:pStyle w:val="63"/>
        <w:spacing w:before="120" w:after="120"/>
      </w:pPr>
      <w:bookmarkStart w:id="40" w:name="_Toc31440"/>
      <w:r>
        <w:rPr>
          <w:rFonts w:hint="eastAsia"/>
          <w:lang w:val="en-US" w:eastAsia="zh-CN"/>
        </w:rPr>
        <w:t>集成</w:t>
      </w:r>
      <w:r>
        <w:rPr>
          <w:rFonts w:hint="eastAsia"/>
        </w:rPr>
        <w:t>接口模型结构</w:t>
      </w:r>
      <w:bookmarkEnd w:id="40"/>
    </w:p>
    <w:p w14:paraId="612F8D3A">
      <w:pPr>
        <w:pStyle w:val="54"/>
        <w:ind w:firstLine="420"/>
        <w:rPr>
          <w:rFonts w:hint="eastAsia"/>
        </w:rPr>
      </w:pPr>
      <w:r>
        <w:rPr>
          <w:rFonts w:hint="eastAsia"/>
        </w:rPr>
        <w:t>集成接口模型采用“请求—处理—响应”的三段式结构化设计，实现平台与集成对象之间的规范化交互，各阶段定义如下：</w:t>
      </w:r>
    </w:p>
    <w:p w14:paraId="7849DAFC">
      <w:pPr>
        <w:pStyle w:val="70"/>
        <w:numPr>
          <w:ilvl w:val="0"/>
          <w:numId w:val="14"/>
        </w:numPr>
        <w:rPr>
          <w:rFonts w:hint="eastAsia"/>
        </w:rPr>
      </w:pPr>
      <w:r>
        <w:rPr>
          <w:rFonts w:hint="eastAsia"/>
        </w:rPr>
        <w:t>请求阶段：由接口发起方按照标准格式生成请求报文，包含接口标识、请求参数、安全签名等信息，通过指定协议发送至接口接收方。</w:t>
      </w:r>
    </w:p>
    <w:p w14:paraId="4462EB7C">
      <w:pPr>
        <w:pStyle w:val="70"/>
        <w:rPr>
          <w:rFonts w:hint="eastAsia"/>
        </w:rPr>
      </w:pPr>
      <w:r>
        <w:rPr>
          <w:rFonts w:hint="eastAsia"/>
        </w:rPr>
        <w:t>处理阶段：接口接收方对请求进行合法性校验、身份认证与权限检查，通过后调用对应业务逻辑或能力组件完成处理，生成响应数据。</w:t>
      </w:r>
    </w:p>
    <w:p w14:paraId="7361032C">
      <w:pPr>
        <w:pStyle w:val="70"/>
      </w:pPr>
      <w:r>
        <w:rPr>
          <w:rFonts w:hint="eastAsia"/>
        </w:rPr>
        <w:t>响应阶段：接口接收方按照标准格式生成响应报文，包含响应状态码、返回数据、日志标识等信息，返回至接口发起方；若处理异常，需返回标准化的错误码与异常说明。</w:t>
      </w:r>
    </w:p>
    <w:p w14:paraId="6BC3A31F">
      <w:pPr>
        <w:pStyle w:val="63"/>
        <w:spacing w:before="120" w:after="120"/>
      </w:pPr>
      <w:bookmarkStart w:id="41" w:name="_Toc11367"/>
      <w:r>
        <w:rPr>
          <w:rFonts w:hint="eastAsia"/>
        </w:rPr>
        <w:t>接口模型核心要素</w:t>
      </w:r>
      <w:bookmarkEnd w:id="41"/>
    </w:p>
    <w:p w14:paraId="60C691F9">
      <w:pPr>
        <w:pStyle w:val="54"/>
        <w:ind w:firstLine="420"/>
        <w:rPr>
          <w:rFonts w:hint="eastAsia"/>
        </w:rPr>
      </w:pPr>
      <w:r>
        <w:rPr>
          <w:rFonts w:hint="eastAsia"/>
        </w:rPr>
        <w:t>接口模型应至少包含以下核心要素，确保接口的规范性、安全性与可追溯性：</w:t>
      </w:r>
    </w:p>
    <w:p w14:paraId="3CDAD666">
      <w:pPr>
        <w:pStyle w:val="54"/>
        <w:ind w:firstLine="420"/>
        <w:rPr>
          <w:rFonts w:hint="eastAsia"/>
        </w:rPr>
      </w:pPr>
      <w:r>
        <w:rPr>
          <w:rFonts w:hint="eastAsia"/>
        </w:rPr>
        <w:t>a) 标识要素：包含全局唯一的接口标识、单次请求的请求标识、单次响应的响应标识。接口标识需包含业务域、功能类型与版本信息；请求标识与响应标识需一一对应，用于链路追踪与问题定位。</w:t>
      </w:r>
    </w:p>
    <w:p w14:paraId="325FD1D6">
      <w:pPr>
        <w:pStyle w:val="54"/>
        <w:ind w:firstLine="420"/>
        <w:rPr>
          <w:rFonts w:hint="eastAsia"/>
        </w:rPr>
      </w:pPr>
      <w:r>
        <w:rPr>
          <w:rFonts w:hint="eastAsia"/>
        </w:rPr>
        <w:t>b) 数据要素：包含请求数据、返回数据及格式说明。请求数据需明确参数名称、数据类型、值域范围与必填属性；返回数据需包含业务结果与状态说明；数据格式统一采用 JSON 或 Protobuf，支持跨语言、跨平台解析。</w:t>
      </w:r>
    </w:p>
    <w:p w14:paraId="2101BCDC">
      <w:pPr>
        <w:pStyle w:val="54"/>
        <w:ind w:firstLine="420"/>
        <w:rPr>
          <w:rFonts w:hint="eastAsia"/>
        </w:rPr>
      </w:pPr>
      <w:r>
        <w:rPr>
          <w:rFonts w:hint="eastAsia"/>
        </w:rPr>
        <w:t>c) 控制要素：包含状态码、超时机制、重试策略。状态码需区分成功、参数错误、权限不足、系统异常等场景；超时时间需根据接口类型配置；重试策略需明确重试次数、间隔时间与降级规则。</w:t>
      </w:r>
    </w:p>
    <w:p w14:paraId="5AB70DA6">
      <w:pPr>
        <w:pStyle w:val="54"/>
        <w:ind w:firstLine="420"/>
        <w:rPr>
          <w:rFonts w:hint="eastAsia"/>
        </w:rPr>
      </w:pPr>
      <w:r>
        <w:rPr>
          <w:rFonts w:hint="eastAsia"/>
        </w:rPr>
        <w:t>d) 安全要素：包含身份认证、访问控制、数据加密。身份认证支持 API 密钥、数字证书、OAuth2.0 等方式；访问控制基于角色与场景限制接口权限；数据传输采用 TLS 1.3 加密，敏感数据需进行字段级加密存储。</w:t>
      </w:r>
    </w:p>
    <w:p w14:paraId="4B55CB15">
      <w:pPr>
        <w:pStyle w:val="54"/>
        <w:ind w:firstLine="420"/>
      </w:pPr>
      <w:r>
        <w:rPr>
          <w:rFonts w:hint="eastAsia"/>
        </w:rPr>
        <w:t>e) 日志要素：包含交互时间、处理结果、异常信息。交互时间需精确到毫秒；处理结果需记录请求成功/失败标识与业务处理详情；异常信息需包含错误码、错误描述与堆栈轨迹，用于故障排查与审计追溯。</w:t>
      </w:r>
    </w:p>
    <w:p w14:paraId="65C15EF0">
      <w:pPr>
        <w:pStyle w:val="63"/>
        <w:spacing w:before="120" w:after="120"/>
      </w:pPr>
      <w:bookmarkStart w:id="42" w:name="_Toc5568"/>
      <w:r>
        <w:rPr>
          <w:rFonts w:hint="eastAsia"/>
        </w:rPr>
        <w:t>接口模型类型及要求</w:t>
      </w:r>
      <w:bookmarkEnd w:id="42"/>
    </w:p>
    <w:p w14:paraId="46640629">
      <w:pPr>
        <w:pStyle w:val="56"/>
        <w:spacing w:before="120" w:after="120"/>
      </w:pPr>
      <w:r>
        <w:rPr>
          <w:rFonts w:hint="eastAsia"/>
        </w:rPr>
        <w:t>数据交互类接口</w:t>
      </w:r>
    </w:p>
    <w:p w14:paraId="5AB26F95">
      <w:pPr>
        <w:pStyle w:val="54"/>
        <w:ind w:firstLine="420"/>
        <w:rPr>
          <w:rFonts w:hint="eastAsia"/>
        </w:rPr>
      </w:pPr>
      <w:r>
        <w:rPr>
          <w:rFonts w:hint="eastAsia"/>
        </w:rPr>
        <w:t>用于实现产业链多主体间的数据共享与同步，是数据驱动协同的基础接口。</w:t>
      </w:r>
    </w:p>
    <w:p w14:paraId="0A6FA0BE">
      <w:pPr>
        <w:pStyle w:val="54"/>
        <w:ind w:firstLine="420"/>
        <w:rPr>
          <w:rFonts w:hint="eastAsia"/>
        </w:rPr>
      </w:pPr>
      <w:r>
        <w:rPr>
          <w:rFonts w:hint="eastAsia"/>
        </w:rPr>
        <w:t>核心能力：支持结构化数据与非结构化数据的传输；支持全量同步与增量同步两种模式，增量同步需基于时间戳或版本号实现；提供数据校验机制，通过哈希值校验保障数据完整性。</w:t>
      </w:r>
    </w:p>
    <w:p w14:paraId="777644EE">
      <w:pPr>
        <w:pStyle w:val="54"/>
        <w:ind w:firstLine="420"/>
        <w:rPr>
          <w:rFonts w:hint="eastAsia"/>
        </w:rPr>
      </w:pPr>
      <w:r>
        <w:rPr>
          <w:rFonts w:hint="eastAsia"/>
        </w:rPr>
        <w:t>性能要求：支持断点续传，在网络中断后可从断点恢复数据传输。</w:t>
      </w:r>
    </w:p>
    <w:p w14:paraId="064D3F18">
      <w:pPr>
        <w:pStyle w:val="54"/>
        <w:ind w:firstLine="420"/>
      </w:pPr>
      <w:r>
        <w:rPr>
          <w:rFonts w:hint="eastAsia"/>
        </w:rPr>
        <w:t>应用场景：供应商与制造商间的物料需求计划同步、物流企业与品牌商间的订单履约状态更新、产业链数据共享中台的多源数据汇聚等。</w:t>
      </w:r>
    </w:p>
    <w:p w14:paraId="5C7A3A48">
      <w:pPr>
        <w:pStyle w:val="56"/>
        <w:spacing w:before="120" w:after="120"/>
      </w:pPr>
      <w:r>
        <w:rPr>
          <w:rFonts w:hint="eastAsia"/>
        </w:rPr>
        <w:t>功能调用类接口</w:t>
      </w:r>
    </w:p>
    <w:p w14:paraId="5D5C2D6B">
      <w:pPr>
        <w:pStyle w:val="54"/>
        <w:ind w:firstLine="420"/>
        <w:rPr>
          <w:rFonts w:hint="eastAsia"/>
        </w:rPr>
      </w:pPr>
      <w:r>
        <w:rPr>
          <w:rFonts w:hint="eastAsia"/>
        </w:rPr>
        <w:t>用于实现跨系统业务协同和能力调用，是业务流程协同的核心接口。</w:t>
      </w:r>
    </w:p>
    <w:p w14:paraId="34474647">
      <w:pPr>
        <w:pStyle w:val="54"/>
        <w:ind w:firstLine="420"/>
        <w:rPr>
          <w:rFonts w:hint="eastAsia"/>
        </w:rPr>
      </w:pPr>
      <w:r>
        <w:rPr>
          <w:rFonts w:hint="eastAsia"/>
        </w:rPr>
        <w:t>核心能力：支持同步调用与异步调用两种模式，同步调用适用于实时性要求高的场景（如库存查询），异步调用适用于处理时间长的场景；明确调用权限，通过角色与接口的绑定关系限制访问范围；提供异常反馈机制，当调用失败时返回标准化错误码与原因说明。</w:t>
      </w:r>
    </w:p>
    <w:p w14:paraId="2D5FD48E">
      <w:pPr>
        <w:pStyle w:val="54"/>
        <w:ind w:firstLine="420"/>
        <w:rPr>
          <w:rFonts w:hint="eastAsia"/>
        </w:rPr>
      </w:pPr>
      <w:r>
        <w:rPr>
          <w:rFonts w:hint="eastAsia"/>
        </w:rPr>
        <w:t>性能要求：支持任务状态的实时追踪，峰值场景下无服务中断。</w:t>
      </w:r>
    </w:p>
    <w:p w14:paraId="581ACFB2">
      <w:pPr>
        <w:pStyle w:val="54"/>
        <w:ind w:firstLine="420"/>
      </w:pPr>
      <w:r>
        <w:rPr>
          <w:rFonts w:hint="eastAsia"/>
        </w:rPr>
        <w:t>应用场景：制造商调用供应商的产能查询接口、品牌商调用物流企业的配送调度接口、平台调用算法引擎的需求预测接口等。。</w:t>
      </w:r>
    </w:p>
    <w:p w14:paraId="179EBCF4">
      <w:pPr>
        <w:pStyle w:val="56"/>
        <w:spacing w:before="120" w:after="120"/>
      </w:pPr>
      <w:r>
        <w:rPr>
          <w:rFonts w:hint="eastAsia"/>
        </w:rPr>
        <w:t>状态与事件交互类接口</w:t>
      </w:r>
    </w:p>
    <w:p w14:paraId="7016D0B9">
      <w:pPr>
        <w:pStyle w:val="54"/>
        <w:ind w:firstLine="420"/>
        <w:rPr>
          <w:rFonts w:hint="eastAsia"/>
        </w:rPr>
      </w:pPr>
      <w:r>
        <w:rPr>
          <w:rFonts w:hint="eastAsia"/>
        </w:rPr>
        <w:t>用于实现产业链运行状态监测和事件触发，是动态协同的关键接口。</w:t>
      </w:r>
    </w:p>
    <w:p w14:paraId="365238DA">
      <w:pPr>
        <w:pStyle w:val="54"/>
        <w:ind w:firstLine="420"/>
        <w:rPr>
          <w:rFonts w:hint="eastAsia"/>
        </w:rPr>
      </w:pPr>
      <w:r>
        <w:rPr>
          <w:rFonts w:hint="eastAsia"/>
        </w:rPr>
        <w:t>核心能力：支持事件订阅、推送与回溯查询，接口发起方可订阅特定业务事件（如设备故障、订单逾期），当事件触发时接口主动推送通知；提供事件过滤机制，可根据主体、场景、优先级等维度筛选事件；支持事件回溯，可查询历史事件的触发时间、关联对象与处理结果。</w:t>
      </w:r>
    </w:p>
    <w:p w14:paraId="0B5BCF8D">
      <w:pPr>
        <w:pStyle w:val="54"/>
        <w:ind w:firstLine="420"/>
        <w:rPr>
          <w:rFonts w:hint="eastAsia"/>
        </w:rPr>
      </w:pPr>
      <w:r>
        <w:rPr>
          <w:rFonts w:hint="eastAsia"/>
        </w:rPr>
        <w:t>性能要求：确保状态感知的实时性；支持高并发订阅。</w:t>
      </w:r>
    </w:p>
    <w:p w14:paraId="3FC39596">
      <w:pPr>
        <w:pStyle w:val="54"/>
        <w:ind w:firstLine="420"/>
      </w:pPr>
      <w:r>
        <w:rPr>
          <w:rFonts w:hint="eastAsia"/>
        </w:rPr>
        <w:t>应用场景：设备故障事件触发维修工单自动创建、订单逾期事件触发预警通知、供应商风险等级变化事件触发采购策略调整等。</w:t>
      </w:r>
    </w:p>
    <w:p w14:paraId="4D4E7721">
      <w:pPr>
        <w:pStyle w:val="62"/>
        <w:spacing w:before="240" w:after="240"/>
      </w:pPr>
      <w:bookmarkStart w:id="43" w:name="_Toc16333"/>
      <w:r>
        <w:rPr>
          <w:rFonts w:hint="eastAsia"/>
        </w:rPr>
        <w:t>集成接口</w:t>
      </w:r>
      <w:r>
        <w:rPr>
          <w:rFonts w:hint="eastAsia"/>
          <w:lang w:val="en-US" w:eastAsia="zh-CN"/>
        </w:rPr>
        <w:t>技术</w:t>
      </w:r>
      <w:r>
        <w:rPr>
          <w:rFonts w:hint="eastAsia"/>
        </w:rPr>
        <w:t>要求</w:t>
      </w:r>
      <w:bookmarkEnd w:id="43"/>
    </w:p>
    <w:p w14:paraId="563D0C72">
      <w:pPr>
        <w:pStyle w:val="63"/>
        <w:spacing w:before="120" w:after="120"/>
      </w:pPr>
      <w:bookmarkStart w:id="44" w:name="_Toc11790"/>
      <w:r>
        <w:rPr>
          <w:rFonts w:hint="eastAsia"/>
        </w:rPr>
        <w:t>通用性</w:t>
      </w:r>
      <w:bookmarkEnd w:id="44"/>
    </w:p>
    <w:p w14:paraId="2D8DB60F">
      <w:pPr>
        <w:pStyle w:val="54"/>
        <w:ind w:firstLine="420"/>
        <w:rPr>
          <w:rFonts w:hint="eastAsia"/>
        </w:rPr>
      </w:pPr>
      <w:r>
        <w:rPr>
          <w:rFonts w:hint="eastAsia"/>
        </w:rPr>
        <w:t>接口应采用开放、通用的通信协议和数据格式，降低多厂商、多系统的接入门槛：</w:t>
      </w:r>
    </w:p>
    <w:p w14:paraId="308E2801">
      <w:pPr>
        <w:pStyle w:val="70"/>
        <w:numPr>
          <w:ilvl w:val="0"/>
          <w:numId w:val="15"/>
        </w:numPr>
        <w:rPr>
          <w:rFonts w:hint="eastAsia"/>
        </w:rPr>
      </w:pPr>
      <w:r>
        <w:rPr>
          <w:rFonts w:hint="eastAsia"/>
        </w:rPr>
        <w:t>通信协议优先选择 HTTP/HTTPS、MQTT、OPC UA 等工业互联网主流协议，避免使用私有协议；</w:t>
      </w:r>
    </w:p>
    <w:p w14:paraId="58A17DF0">
      <w:pPr>
        <w:pStyle w:val="70"/>
        <w:rPr>
          <w:rFonts w:hint="eastAsia"/>
        </w:rPr>
      </w:pPr>
      <w:r>
        <w:rPr>
          <w:rFonts w:hint="eastAsia"/>
        </w:rPr>
        <w:t>数据格式统一采用 JSON 或 Protobuf，支持跨语言解析；</w:t>
      </w:r>
    </w:p>
    <w:p w14:paraId="7F135AFC">
      <w:pPr>
        <w:pStyle w:val="70"/>
      </w:pPr>
      <w:r>
        <w:rPr>
          <w:rFonts w:hint="eastAsia"/>
        </w:rPr>
        <w:t>接口设计遵循 RESTful 架构风格，采用标准化的请求方法（GET/POST/PUT/DELETE）与资源命名规则。</w:t>
      </w:r>
    </w:p>
    <w:p w14:paraId="24967321">
      <w:pPr>
        <w:pStyle w:val="63"/>
        <w:spacing w:before="120" w:after="120"/>
      </w:pPr>
      <w:bookmarkStart w:id="45" w:name="_Toc514"/>
      <w:r>
        <w:rPr>
          <w:rFonts w:hint="eastAsia"/>
        </w:rPr>
        <w:t>互操作性</w:t>
      </w:r>
      <w:bookmarkEnd w:id="45"/>
    </w:p>
    <w:p w14:paraId="2B84AB57">
      <w:pPr>
        <w:pStyle w:val="54"/>
        <w:ind w:firstLine="420"/>
        <w:rPr>
          <w:rFonts w:hint="eastAsia"/>
        </w:rPr>
      </w:pPr>
      <w:r>
        <w:rPr>
          <w:rFonts w:hint="eastAsia"/>
        </w:rPr>
        <w:t>接口应确保不同系统间数据语义一致、指令可正确解析和执行，消除信息壁垒：</w:t>
      </w:r>
    </w:p>
    <w:p w14:paraId="1BADED18">
      <w:pPr>
        <w:pStyle w:val="70"/>
        <w:numPr>
          <w:ilvl w:val="0"/>
          <w:numId w:val="16"/>
        </w:numPr>
        <w:rPr>
          <w:rFonts w:hint="eastAsia"/>
        </w:rPr>
      </w:pPr>
      <w:r>
        <w:rPr>
          <w:rFonts w:hint="eastAsia"/>
        </w:rPr>
        <w:t>建立统一的数据元字典，明确数据元的名称、定义、类型与值域，保障跨系统数据语义的一致性；</w:t>
      </w:r>
    </w:p>
    <w:p w14:paraId="7A6D65F1">
      <w:pPr>
        <w:pStyle w:val="70"/>
        <w:rPr>
          <w:rFonts w:hint="eastAsia"/>
        </w:rPr>
      </w:pPr>
      <w:r>
        <w:rPr>
          <w:rFonts w:hint="eastAsia"/>
        </w:rPr>
        <w:t>提供数据映射工具，支持不同系统间数据元的自动匹配与转换；</w:t>
      </w:r>
    </w:p>
    <w:p w14:paraId="3ACB7CF3">
      <w:pPr>
        <w:pStyle w:val="70"/>
      </w:pPr>
      <w:r>
        <w:rPr>
          <w:rFonts w:hint="eastAsia"/>
        </w:rPr>
        <w:t>接口指令采用标准化的编码规则。</w:t>
      </w:r>
    </w:p>
    <w:p w14:paraId="2B854674">
      <w:pPr>
        <w:pStyle w:val="63"/>
        <w:spacing w:before="120" w:after="120"/>
      </w:pPr>
      <w:bookmarkStart w:id="46" w:name="_Toc15918"/>
      <w:r>
        <w:rPr>
          <w:rFonts w:hint="eastAsia"/>
        </w:rPr>
        <w:t>可扩展性</w:t>
      </w:r>
      <w:bookmarkEnd w:id="46"/>
    </w:p>
    <w:p w14:paraId="793A8EB3">
      <w:pPr>
        <w:pStyle w:val="54"/>
        <w:ind w:firstLine="420"/>
        <w:rPr>
          <w:rFonts w:hint="eastAsia"/>
        </w:rPr>
      </w:pPr>
      <w:r>
        <w:rPr>
          <w:rFonts w:hint="eastAsia"/>
        </w:rPr>
        <w:t>接口设计应支持新增业务场景、扩展数据类型和能力要素，适应产业链协同的动态变化：</w:t>
      </w:r>
    </w:p>
    <w:p w14:paraId="568166AF">
      <w:pPr>
        <w:pStyle w:val="70"/>
        <w:numPr>
          <w:ilvl w:val="0"/>
          <w:numId w:val="17"/>
        </w:numPr>
        <w:rPr>
          <w:rFonts w:hint="eastAsia"/>
        </w:rPr>
      </w:pPr>
      <w:r>
        <w:rPr>
          <w:rFonts w:hint="eastAsia"/>
        </w:rPr>
        <w:t>接口采用版本化管理，版本号包含主版本号与次版本号，新版本需向下兼容旧版本；</w:t>
      </w:r>
    </w:p>
    <w:p w14:paraId="3D4D1E1E">
      <w:pPr>
        <w:pStyle w:val="70"/>
        <w:rPr>
          <w:rFonts w:hint="eastAsia"/>
        </w:rPr>
      </w:pPr>
      <w:r>
        <w:rPr>
          <w:rFonts w:hint="eastAsia"/>
        </w:rPr>
        <w:t>预留扩展字段，支持新增业务参数的快速接入，无需频繁修改接口结构；</w:t>
      </w:r>
    </w:p>
    <w:p w14:paraId="32EC9141">
      <w:pPr>
        <w:pStyle w:val="70"/>
      </w:pPr>
      <w:r>
        <w:rPr>
          <w:rFonts w:hint="eastAsia"/>
        </w:rPr>
        <w:t>采用插件化架构，支持新增协议适配模块与数据转换工具，提升接口的适配能力。</w:t>
      </w:r>
    </w:p>
    <w:p w14:paraId="388D3E89">
      <w:pPr>
        <w:pStyle w:val="63"/>
        <w:spacing w:before="120" w:after="120"/>
      </w:pPr>
      <w:bookmarkStart w:id="47" w:name="_Toc25853"/>
      <w:r>
        <w:rPr>
          <w:rFonts w:hint="eastAsia"/>
        </w:rPr>
        <w:t>安全性</w:t>
      </w:r>
      <w:bookmarkEnd w:id="47"/>
    </w:p>
    <w:p w14:paraId="7B2EA78B">
      <w:pPr>
        <w:pStyle w:val="54"/>
        <w:ind w:firstLine="420"/>
        <w:rPr>
          <w:rFonts w:hint="eastAsia"/>
        </w:rPr>
      </w:pPr>
      <w:r>
        <w:rPr>
          <w:rFonts w:hint="eastAsia"/>
        </w:rPr>
        <w:t>接口应具备身份认证、权限控制、数据加密和日志审计等安全机制，满足产业链协同场景下的数据安全要求：</w:t>
      </w:r>
    </w:p>
    <w:p w14:paraId="47DE834B">
      <w:pPr>
        <w:pStyle w:val="70"/>
        <w:numPr>
          <w:ilvl w:val="0"/>
          <w:numId w:val="18"/>
        </w:numPr>
        <w:rPr>
          <w:rFonts w:hint="eastAsia"/>
        </w:rPr>
      </w:pPr>
      <w:r>
        <w:rPr>
          <w:rFonts w:hint="eastAsia"/>
        </w:rPr>
        <w:t>支持 API 密钥、数字证书、OAuth2.0 等多种方式，禁止匿名访问接口；</w:t>
      </w:r>
    </w:p>
    <w:p w14:paraId="3E5FC191">
      <w:pPr>
        <w:pStyle w:val="70"/>
        <w:rPr>
          <w:rFonts w:hint="eastAsia"/>
        </w:rPr>
      </w:pPr>
      <w:r>
        <w:rPr>
          <w:rFonts w:hint="eastAsia"/>
        </w:rPr>
        <w:t>基于角色、场景与数据范围实现细粒度权限管控，如仅允许采购人员调用供应商报价接口；</w:t>
      </w:r>
    </w:p>
    <w:p w14:paraId="7A91B209">
      <w:pPr>
        <w:pStyle w:val="70"/>
        <w:rPr>
          <w:rFonts w:hint="eastAsia"/>
        </w:rPr>
      </w:pPr>
      <w:r>
        <w:rPr>
          <w:rFonts w:hint="eastAsia"/>
        </w:rPr>
        <w:t>传输层采用 TLS 1.3 加密，敏感数据需进行字段级加密存储；</w:t>
      </w:r>
    </w:p>
    <w:p w14:paraId="1DA4D208">
      <w:pPr>
        <w:pStyle w:val="70"/>
      </w:pPr>
      <w:r>
        <w:rPr>
          <w:rFonts w:hint="eastAsia"/>
        </w:rPr>
        <w:t>日志审计：记录所有接口访问与操作日志，支持审计追溯与异常行为分析。</w:t>
      </w:r>
    </w:p>
    <w:p w14:paraId="571A4297">
      <w:pPr>
        <w:pStyle w:val="63"/>
        <w:spacing w:before="120" w:after="120"/>
      </w:pPr>
      <w:bookmarkStart w:id="48" w:name="_Toc5194"/>
      <w:r>
        <w:rPr>
          <w:rFonts w:hint="eastAsia"/>
        </w:rPr>
        <w:t>稳定性</w:t>
      </w:r>
      <w:bookmarkEnd w:id="48"/>
    </w:p>
    <w:p w14:paraId="14A5C187">
      <w:pPr>
        <w:pStyle w:val="54"/>
        <w:ind w:firstLine="420"/>
        <w:rPr>
          <w:rFonts w:hint="eastAsia"/>
        </w:rPr>
      </w:pPr>
      <w:r>
        <w:rPr>
          <w:rFonts w:hint="eastAsia"/>
        </w:rPr>
        <w:t>接口应具备异常处理和容错能力，在网络异常或系统故障情况下保持基本可用性：</w:t>
      </w:r>
    </w:p>
    <w:p w14:paraId="35FE14F6">
      <w:pPr>
        <w:pStyle w:val="70"/>
        <w:numPr>
          <w:ilvl w:val="0"/>
          <w:numId w:val="19"/>
        </w:numPr>
        <w:rPr>
          <w:rFonts w:hint="eastAsia"/>
        </w:rPr>
      </w:pPr>
      <w:r>
        <w:rPr>
          <w:rFonts w:hint="eastAsia"/>
        </w:rPr>
        <w:t>异常处理：实现请求超时、网络中断、服务不可用等场景的自动重试与降级；</w:t>
      </w:r>
    </w:p>
    <w:p w14:paraId="6F76EEB1">
      <w:pPr>
        <w:pStyle w:val="70"/>
        <w:rPr>
          <w:rFonts w:hint="eastAsia"/>
        </w:rPr>
      </w:pPr>
      <w:r>
        <w:rPr>
          <w:rFonts w:hint="eastAsia"/>
        </w:rPr>
        <w:t>容错能力：采用集群部署与负载均衡技术，单节点故障不影响整体接口服务；</w:t>
      </w:r>
    </w:p>
    <w:p w14:paraId="257971D9">
      <w:pPr>
        <w:pStyle w:val="70"/>
      </w:pPr>
      <w:r>
        <w:rPr>
          <w:rFonts w:hint="eastAsia"/>
        </w:rPr>
        <w:t>监控告警：建立接口运行监控体系，对响应时间、成功率、异常率等指标进行实时监控，触发阈值时自动告警。</w:t>
      </w:r>
    </w:p>
    <w:p w14:paraId="3F116740">
      <w:pPr>
        <w:pStyle w:val="54"/>
        <w:ind w:firstLine="420"/>
        <w:sectPr>
          <w:pgSz w:w="11906" w:h="16838"/>
          <w:pgMar w:top="1928" w:right="1134" w:bottom="1134" w:left="1134" w:header="1418" w:footer="1134" w:gutter="284"/>
          <w:pgNumType w:start="1"/>
          <w:cols w:space="425" w:num="1"/>
          <w:formProt w:val="0"/>
          <w:docGrid w:linePitch="312" w:charSpace="0"/>
        </w:sectPr>
      </w:pPr>
    </w:p>
    <w:bookmarkEnd w:id="6"/>
    <w:p w14:paraId="19B2DECA">
      <w:pPr>
        <w:pStyle w:val="83"/>
        <w:rPr>
          <w:rFonts w:hint="eastAsia"/>
        </w:rPr>
      </w:pPr>
      <w:bookmarkStart w:id="49" w:name="BookMark5"/>
    </w:p>
    <w:p w14:paraId="7E19AB5E">
      <w:pPr>
        <w:pStyle w:val="84"/>
      </w:pPr>
    </w:p>
    <w:p w14:paraId="39D039FF">
      <w:pPr>
        <w:pStyle w:val="85"/>
        <w:spacing w:after="120"/>
      </w:pPr>
      <w:bookmarkStart w:id="50" w:name="_Toc14882"/>
      <w:r>
        <w:br w:type="textWrapping"/>
      </w:r>
      <w:r>
        <w:rPr>
          <w:rFonts w:hint="eastAsia"/>
        </w:rPr>
        <w:t>（资料性）</w:t>
      </w:r>
      <w:r>
        <w:br w:type="textWrapping"/>
      </w:r>
      <w:r>
        <w:rPr>
          <w:rFonts w:hint="eastAsia"/>
        </w:rPr>
        <w:t>集成对象与接口模型对应关系示例</w:t>
      </w:r>
      <w:bookmarkEnd w:id="50"/>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4"/>
        <w:gridCol w:w="3115"/>
        <w:gridCol w:w="3115"/>
      </w:tblGrid>
      <w:tr w14:paraId="7F478C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4" w:type="dxa"/>
            <w:tcBorders>
              <w:top w:val="single" w:color="auto" w:sz="8" w:space="0"/>
              <w:bottom w:val="single" w:color="auto" w:sz="8" w:space="0"/>
            </w:tcBorders>
            <w:vAlign w:val="center"/>
          </w:tcPr>
          <w:p w14:paraId="044DC76E">
            <w:pPr>
              <w:pStyle w:val="86"/>
              <w:rPr>
                <w:b/>
                <w:bCs/>
              </w:rPr>
            </w:pPr>
            <w:r>
              <w:rPr>
                <w:b/>
                <w:bCs/>
              </w:rPr>
              <w:t>集成对象类别</w:t>
            </w:r>
          </w:p>
        </w:tc>
        <w:tc>
          <w:tcPr>
            <w:tcW w:w="3115" w:type="dxa"/>
            <w:tcBorders>
              <w:top w:val="single" w:color="auto" w:sz="8" w:space="0"/>
              <w:bottom w:val="single" w:color="auto" w:sz="8" w:space="0"/>
            </w:tcBorders>
            <w:vAlign w:val="center"/>
          </w:tcPr>
          <w:p w14:paraId="36E867A1">
            <w:pPr>
              <w:pStyle w:val="86"/>
              <w:rPr>
                <w:b/>
                <w:bCs/>
              </w:rPr>
            </w:pPr>
            <w:r>
              <w:rPr>
                <w:b/>
                <w:bCs/>
              </w:rPr>
              <w:t>典型集成对象</w:t>
            </w:r>
          </w:p>
        </w:tc>
        <w:tc>
          <w:tcPr>
            <w:tcW w:w="3115" w:type="dxa"/>
            <w:tcBorders>
              <w:top w:val="single" w:color="auto" w:sz="8" w:space="0"/>
              <w:bottom w:val="single" w:color="auto" w:sz="8" w:space="0"/>
            </w:tcBorders>
            <w:vAlign w:val="center"/>
          </w:tcPr>
          <w:p w14:paraId="0CDC6CD3">
            <w:pPr>
              <w:pStyle w:val="86"/>
              <w:rPr>
                <w:b/>
                <w:bCs/>
              </w:rPr>
            </w:pPr>
            <w:r>
              <w:rPr>
                <w:b/>
                <w:bCs/>
              </w:rPr>
              <w:t>接口模型类型</w:t>
            </w:r>
          </w:p>
        </w:tc>
      </w:tr>
      <w:tr w14:paraId="0922E0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4" w:type="dxa"/>
            <w:tcBorders>
              <w:top w:val="single" w:color="auto" w:sz="8" w:space="0"/>
            </w:tcBorders>
            <w:vAlign w:val="center"/>
          </w:tcPr>
          <w:p w14:paraId="76DC7CE4">
            <w:pPr>
              <w:pStyle w:val="86"/>
            </w:pPr>
            <w:r>
              <w:t>业务系统类</w:t>
            </w:r>
          </w:p>
        </w:tc>
        <w:tc>
          <w:tcPr>
            <w:tcW w:w="3115" w:type="dxa"/>
            <w:tcBorders>
              <w:top w:val="single" w:color="auto" w:sz="8" w:space="0"/>
            </w:tcBorders>
            <w:vAlign w:val="center"/>
          </w:tcPr>
          <w:p w14:paraId="03B02A99">
            <w:pPr>
              <w:pStyle w:val="86"/>
            </w:pPr>
            <w:r>
              <w:t>ERP、MES、SCM</w:t>
            </w:r>
          </w:p>
        </w:tc>
        <w:tc>
          <w:tcPr>
            <w:tcW w:w="3115" w:type="dxa"/>
            <w:tcBorders>
              <w:top w:val="single" w:color="auto" w:sz="8" w:space="0"/>
            </w:tcBorders>
            <w:vAlign w:val="center"/>
          </w:tcPr>
          <w:p w14:paraId="185ED520">
            <w:pPr>
              <w:pStyle w:val="86"/>
            </w:pPr>
            <w:r>
              <w:t>数据交互类、功能调用类</w:t>
            </w:r>
          </w:p>
        </w:tc>
      </w:tr>
      <w:tr w14:paraId="24D891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4" w:type="dxa"/>
            <w:vAlign w:val="center"/>
          </w:tcPr>
          <w:p w14:paraId="19FEF6FE">
            <w:pPr>
              <w:pStyle w:val="86"/>
            </w:pPr>
            <w:r>
              <w:t>数据资源类</w:t>
            </w:r>
          </w:p>
        </w:tc>
        <w:tc>
          <w:tcPr>
            <w:tcW w:w="3115" w:type="dxa"/>
            <w:vAlign w:val="center"/>
          </w:tcPr>
          <w:p w14:paraId="65561D2D">
            <w:pPr>
              <w:pStyle w:val="86"/>
            </w:pPr>
            <w:r>
              <w:t>数据共享平台</w:t>
            </w:r>
          </w:p>
        </w:tc>
        <w:tc>
          <w:tcPr>
            <w:tcW w:w="3115" w:type="dxa"/>
            <w:vAlign w:val="center"/>
          </w:tcPr>
          <w:p w14:paraId="33AA3C50">
            <w:pPr>
              <w:pStyle w:val="86"/>
            </w:pPr>
            <w:r>
              <w:t>数据交互类</w:t>
            </w:r>
          </w:p>
        </w:tc>
      </w:tr>
      <w:tr w14:paraId="41768A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4" w:type="dxa"/>
            <w:vAlign w:val="center"/>
          </w:tcPr>
          <w:p w14:paraId="234AC7FC">
            <w:pPr>
              <w:pStyle w:val="86"/>
            </w:pPr>
            <w:r>
              <w:t>协同服务类</w:t>
            </w:r>
          </w:p>
        </w:tc>
        <w:tc>
          <w:tcPr>
            <w:tcW w:w="3115" w:type="dxa"/>
            <w:vAlign w:val="center"/>
          </w:tcPr>
          <w:p w14:paraId="06E6CAF1">
            <w:pPr>
              <w:pStyle w:val="86"/>
            </w:pPr>
            <w:r>
              <w:t>决策分析服务</w:t>
            </w:r>
          </w:p>
        </w:tc>
        <w:tc>
          <w:tcPr>
            <w:tcW w:w="3115" w:type="dxa"/>
            <w:vAlign w:val="center"/>
          </w:tcPr>
          <w:p w14:paraId="5F044276">
            <w:pPr>
              <w:pStyle w:val="86"/>
            </w:pPr>
            <w:r>
              <w:t>功能调用类</w:t>
            </w:r>
          </w:p>
        </w:tc>
      </w:tr>
      <w:tr w14:paraId="21C9EC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4" w:type="dxa"/>
            <w:vAlign w:val="center"/>
          </w:tcPr>
          <w:p w14:paraId="7BAEFDD8">
            <w:pPr>
              <w:pStyle w:val="86"/>
            </w:pPr>
            <w:r>
              <w:t>运行监测类</w:t>
            </w:r>
          </w:p>
        </w:tc>
        <w:tc>
          <w:tcPr>
            <w:tcW w:w="3115" w:type="dxa"/>
            <w:vAlign w:val="center"/>
          </w:tcPr>
          <w:p w14:paraId="034D3C83">
            <w:pPr>
              <w:pStyle w:val="86"/>
            </w:pPr>
            <w:r>
              <w:t>风险监测平台</w:t>
            </w:r>
          </w:p>
        </w:tc>
        <w:tc>
          <w:tcPr>
            <w:tcW w:w="3115" w:type="dxa"/>
            <w:vAlign w:val="center"/>
          </w:tcPr>
          <w:p w14:paraId="45171693">
            <w:pPr>
              <w:pStyle w:val="86"/>
            </w:pPr>
            <w:r>
              <w:t>状态与事件交互类</w:t>
            </w:r>
          </w:p>
        </w:tc>
      </w:tr>
      <w:tr w14:paraId="7733A5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4" w:type="dxa"/>
            <w:vAlign w:val="center"/>
          </w:tcPr>
          <w:p w14:paraId="5A943E88">
            <w:pPr>
              <w:pStyle w:val="86"/>
            </w:pPr>
            <w:r>
              <w:t>安全治理类</w:t>
            </w:r>
          </w:p>
        </w:tc>
        <w:tc>
          <w:tcPr>
            <w:tcW w:w="3115" w:type="dxa"/>
            <w:vAlign w:val="center"/>
          </w:tcPr>
          <w:p w14:paraId="042FC4D9">
            <w:pPr>
              <w:pStyle w:val="86"/>
            </w:pPr>
            <w:r>
              <w:t>身份认证系统</w:t>
            </w:r>
          </w:p>
        </w:tc>
        <w:tc>
          <w:tcPr>
            <w:tcW w:w="3115" w:type="dxa"/>
            <w:vAlign w:val="center"/>
          </w:tcPr>
          <w:p w14:paraId="379F595A">
            <w:pPr>
              <w:pStyle w:val="86"/>
            </w:pPr>
            <w:r>
              <w:t>功能调用类</w:t>
            </w:r>
          </w:p>
        </w:tc>
      </w:tr>
    </w:tbl>
    <w:p w14:paraId="13514391">
      <w:pPr>
        <w:pStyle w:val="54"/>
        <w:ind w:firstLine="420"/>
      </w:pPr>
    </w:p>
    <w:bookmarkEnd w:id="49"/>
    <w:p w14:paraId="56249C1F">
      <w:pPr>
        <w:jc w:val="center"/>
      </w:pPr>
      <w:bookmarkStart w:id="51" w:name="BookMark8"/>
      <w:r>
        <w:rPr>
          <w:rFonts w:hint="eastAsia"/>
        </w:rPr>
        <w:drawing>
          <wp:inline distT="0" distB="0" distL="0" distR="0">
            <wp:extent cx="1485900" cy="317500"/>
            <wp:effectExtent l="0" t="0" r="7620" b="2540"/>
            <wp:docPr id="1203071702" name="图片 4"/>
            <wp:cNvGraphicFramePr/>
            <a:graphic xmlns:a="http://schemas.openxmlformats.org/drawingml/2006/main">
              <a:graphicData uri="http://schemas.openxmlformats.org/drawingml/2006/picture">
                <pic:pic xmlns:pic="http://schemas.openxmlformats.org/drawingml/2006/picture">
                  <pic:nvPicPr>
                    <pic:cNvPr id="1203071702" name="图片 4"/>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1"/>
    </w:p>
    <w:sectPr>
      <w:headerReference r:id="rId12" w:type="default"/>
      <w:footerReference r:id="rId13" w:type="default"/>
      <w:pgSz w:w="11906" w:h="16838"/>
      <w:pgMar w:top="1928" w:right="1134" w:bottom="1134" w:left="1134" w:header="1418" w:footer="1134" w:gutter="284"/>
      <w:pgNumType w:start="1"/>
      <w:cols w:space="425"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FF3CF">
    <w:pPr>
      <w:pStyle w:val="12"/>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0A69A">
    <w:pPr>
      <w:pStyle w:val="12"/>
      <w:ind w:left="9184" w:leftChars="516" w:hanging="8100" w:hangingChars="4500"/>
    </w:pPr>
    <w:r>
      <w:rPr>
        <w:rFonts w:hint="eastAsia"/>
      </w:rPr>
      <w:t>Ⅱ</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196CB">
    <w:pPr>
      <w:pStyle w:val="12"/>
      <w:jc w:val="right"/>
    </w:pPr>
    <w:r>
      <w:fldChar w:fldCharType="begin"/>
    </w:r>
    <w:r>
      <w:instrText xml:space="preserve"> PAGE   \* MERGEFORMAT </w:instrText>
    </w:r>
    <w:r>
      <w:fldChar w:fldCharType="separate"/>
    </w:r>
    <w:r>
      <w:rPr>
        <w:lang w:val="zh-CN"/>
      </w:rPr>
      <w:t>I</w:t>
    </w:r>
    <w:r>
      <w:rPr>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29720">
    <w:pPr>
      <w:pStyle w:val="53"/>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97F8E">
    <w:pPr>
      <w:pStyle w:val="53"/>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8A570">
    <w:pPr>
      <w:pStyle w:val="50"/>
      <w:ind w:right="525"/>
      <w:rPr>
        <w:rFonts w:hint="eastAsia" w:ascii="宋体" w:hAnsi="宋体"/>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55FC3">
    <w:pPr>
      <w:pStyle w:val="13"/>
      <w:spacing w:after="120"/>
      <w:jc w:val="left"/>
      <w:rPr>
        <w:sz w:val="21"/>
      </w:rPr>
    </w:pPr>
    <w:r>
      <w:rPr>
        <w:sz w:val="21"/>
      </w:rPr>
      <w:t>T/CAMETA</w:t>
    </w:r>
    <w:r>
      <w:rPr>
        <w:spacing w:val="158"/>
        <w:sz w:val="21"/>
      </w:rPr>
      <w:t xml:space="preserve"> </w:t>
    </w:r>
    <w:r>
      <w:rPr>
        <w:sz w:val="21"/>
      </w:rPr>
      <w:t>XXXX</w:t>
    </w:r>
    <w:r>
      <w:rPr>
        <w:rFonts w:hint="eastAsia"/>
        <w:sz w:val="21"/>
      </w:rPr>
      <w:t>X</w:t>
    </w:r>
    <w:r>
      <w:rPr>
        <w:sz w:val="21"/>
      </w:rPr>
      <w:t>-</w:t>
    </w:r>
    <w:r>
      <w:rPr>
        <w:rFonts w:hint="eastAsia"/>
        <w:sz w:val="21"/>
      </w:rPr>
      <w:t>20</w:t>
    </w:r>
    <w:r>
      <w:rPr>
        <w:sz w:val="21"/>
      </w:rPr>
      <w:t>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02CD0">
    <w:pPr>
      <w:pStyle w:val="50"/>
      <w:ind w:right="-58"/>
    </w:pPr>
    <w:r>
      <w:t>T/</w:t>
    </w:r>
    <w:r>
      <w:rPr>
        <w:rFonts w:hint="eastAsia"/>
      </w:rPr>
      <w:t>BIAIM</w:t>
    </w:r>
    <w:r>
      <w:rPr>
        <w:spacing w:val="158"/>
      </w:rPr>
      <w:t xml:space="preserve"> </w:t>
    </w:r>
    <w:r>
      <w:rPr>
        <w:rFonts w:hint="eastAsia"/>
      </w:rPr>
      <w:t>0009-2025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89771">
    <w:pPr>
      <w:pStyle w:val="55"/>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4E2BB">
    <w:pPr>
      <w:pStyle w:val="13"/>
      <w:jc w:val="right"/>
    </w:pPr>
    <w:r>
      <w:fldChar w:fldCharType="begin"/>
    </w:r>
    <w:r>
      <w:instrText xml:space="preserve"> STYLEREF  标准文件_文件编号  \* MERGEFORMAT </w:instrText>
    </w:r>
    <w:r>
      <w:fldChar w:fldCharType="separate"/>
    </w:r>
    <w:r>
      <w:rPr>
        <w:b/>
      </w:rPr>
      <w:t>错误！未定义样式。</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AFA07">
    <w:pPr>
      <w:pStyle w:val="55"/>
      <w:rPr>
        <w:rFonts w:hint="eastAsia"/>
      </w:rPr>
    </w:pPr>
    <w:r>
      <w:fldChar w:fldCharType="begin"/>
    </w:r>
    <w:r>
      <w:instrText xml:space="preserve"> STYLEREF  标准文件_文件编号  \* MERGEFORMAT </w:instrText>
    </w:r>
    <w:r>
      <w:fldChar w:fldCharType="separate"/>
    </w:r>
    <w:r>
      <w:rPr>
        <w:b/>
      </w:rPr>
      <w:t>错误！未定义样式。</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D3FEA"/>
    <w:multiLevelType w:val="multilevel"/>
    <w:tmpl w:val="07ED3FEA"/>
    <w:lvl w:ilvl="0" w:tentative="0">
      <w:start w:val="1"/>
      <w:numFmt w:val="none"/>
      <w:pStyle w:val="57"/>
      <w:lvlText w:val="%1"/>
      <w:lvlJc w:val="left"/>
      <w:pPr>
        <w:ind w:left="425" w:hanging="425"/>
      </w:pPr>
      <w:rPr>
        <w:rFonts w:hint="eastAsia"/>
      </w:rPr>
    </w:lvl>
    <w:lvl w:ilvl="1" w:tentative="0">
      <w:start w:val="1"/>
      <w:numFmt w:val="decimal"/>
      <w:pStyle w:val="74"/>
      <w:suff w:val="nothing"/>
      <w:lvlText w:val="%10.%2 "/>
      <w:lvlJc w:val="left"/>
      <w:pPr>
        <w:ind w:left="0" w:firstLine="0"/>
      </w:pPr>
      <w:rPr>
        <w:rFonts w:hint="eastAsia" w:ascii="黑体" w:eastAsia="黑体" w:hAnsiTheme="minorHAnsi"/>
        <w:b w:val="0"/>
        <w:i w:val="0"/>
        <w:sz w:val="21"/>
      </w:rPr>
    </w:lvl>
    <w:lvl w:ilvl="2" w:tentative="0">
      <w:start w:val="1"/>
      <w:numFmt w:val="decimal"/>
      <w:pStyle w:val="79"/>
      <w:suff w:val="nothing"/>
      <w:lvlText w:val="%10.%2.%3 "/>
      <w:lvlJc w:val="left"/>
      <w:pPr>
        <w:ind w:left="0" w:firstLine="0"/>
      </w:pPr>
      <w:rPr>
        <w:rFonts w:hint="eastAsia" w:ascii="黑体" w:eastAsia="黑体" w:hAnsiTheme="minorHAnsi"/>
        <w:b w:val="0"/>
        <w:i w:val="0"/>
        <w:sz w:val="21"/>
      </w:rPr>
    </w:lvl>
    <w:lvl w:ilvl="3" w:tentative="0">
      <w:start w:val="1"/>
      <w:numFmt w:val="decimal"/>
      <w:pStyle w:val="76"/>
      <w:suff w:val="nothing"/>
      <w:lvlText w:val="%10.%2.%3.%4 "/>
      <w:lvlJc w:val="left"/>
      <w:pPr>
        <w:ind w:left="0" w:firstLine="0"/>
      </w:pPr>
      <w:rPr>
        <w:rFonts w:hint="eastAsia" w:ascii="黑体" w:eastAsia="黑体" w:hAnsiTheme="minorHAnsi"/>
        <w:b w:val="0"/>
        <w:i w:val="0"/>
        <w:sz w:val="21"/>
      </w:rPr>
    </w:lvl>
    <w:lvl w:ilvl="4" w:tentative="0">
      <w:start w:val="1"/>
      <w:numFmt w:val="decimal"/>
      <w:pStyle w:val="77"/>
      <w:suff w:val="nothing"/>
      <w:lvlText w:val="%10.%2.%3.%4.%5 "/>
      <w:lvlJc w:val="left"/>
      <w:pPr>
        <w:ind w:left="0" w:firstLine="0"/>
      </w:pPr>
      <w:rPr>
        <w:rFonts w:hint="eastAsia" w:ascii="黑体" w:eastAsia="黑体" w:hAnsiTheme="minorHAnsi"/>
        <w:b w:val="0"/>
        <w:i w:val="0"/>
        <w:sz w:val="21"/>
      </w:rPr>
    </w:lvl>
    <w:lvl w:ilvl="5" w:tentative="0">
      <w:start w:val="1"/>
      <w:numFmt w:val="decimal"/>
      <w:pStyle w:val="7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2C5917C3"/>
    <w:multiLevelType w:val="multilevel"/>
    <w:tmpl w:val="2C5917C3"/>
    <w:lvl w:ilvl="0" w:tentative="0">
      <w:start w:val="1"/>
      <w:numFmt w:val="none"/>
      <w:pStyle w:val="67"/>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73"/>
      <w:lvlText w:val=""/>
      <w:lvlJc w:val="left"/>
      <w:pPr>
        <w:ind w:left="851" w:hanging="431"/>
      </w:pPr>
      <w:rPr>
        <w:rFonts w:hint="default" w:ascii="Symbol" w:hAnsi="Symbol"/>
        <w:sz w:val="21"/>
      </w:rPr>
    </w:lvl>
    <w:lvl w:ilvl="2" w:tentative="0">
      <w:start w:val="1"/>
      <w:numFmt w:val="bullet"/>
      <w:pStyle w:val="69"/>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
    <w:nsid w:val="44C50F90"/>
    <w:multiLevelType w:val="multilevel"/>
    <w:tmpl w:val="44C50F90"/>
    <w:lvl w:ilvl="0" w:tentative="0">
      <w:start w:val="1"/>
      <w:numFmt w:val="lowerLetter"/>
      <w:pStyle w:val="70"/>
      <w:lvlText w:val="%1)"/>
      <w:lvlJc w:val="left"/>
      <w:pPr>
        <w:tabs>
          <w:tab w:val="left" w:pos="851"/>
        </w:tabs>
        <w:ind w:left="851" w:hanging="426"/>
      </w:pPr>
      <w:rPr>
        <w:rFonts w:hint="eastAsia" w:ascii="宋体" w:hAnsi="Times New Roman" w:eastAsia="宋体"/>
        <w:sz w:val="21"/>
      </w:rPr>
    </w:lvl>
    <w:lvl w:ilvl="1" w:tentative="0">
      <w:start w:val="1"/>
      <w:numFmt w:val="decimal"/>
      <w:pStyle w:val="64"/>
      <w:lvlText w:val="%2)"/>
      <w:lvlJc w:val="left"/>
      <w:pPr>
        <w:tabs>
          <w:tab w:val="left" w:pos="1276"/>
        </w:tabs>
        <w:ind w:left="1276" w:hanging="425"/>
      </w:pPr>
      <w:rPr>
        <w:rFonts w:hint="eastAsia" w:ascii="宋体" w:hAnsi="Times New Roman" w:eastAsia="宋体"/>
        <w:sz w:val="21"/>
      </w:rPr>
    </w:lvl>
    <w:lvl w:ilvl="2" w:tentative="0">
      <w:start w:val="1"/>
      <w:numFmt w:val="decimal"/>
      <w:pStyle w:val="66"/>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48802D1C"/>
    <w:multiLevelType w:val="multilevel"/>
    <w:tmpl w:val="48802D1C"/>
    <w:lvl w:ilvl="0" w:tentative="0">
      <w:start w:val="1"/>
      <w:numFmt w:val="upperLetter"/>
      <w:pStyle w:val="83"/>
      <w:lvlText w:val="%1"/>
      <w:lvlJc w:val="left"/>
      <w:pPr>
        <w:ind w:left="420" w:hanging="420"/>
      </w:pPr>
      <w:rPr>
        <w:rFonts w:hint="eastAsia"/>
      </w:rPr>
    </w:lvl>
    <w:lvl w:ilvl="1" w:tentative="0">
      <w:start w:val="1"/>
      <w:numFmt w:val="decimal"/>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557C2AF5"/>
    <w:multiLevelType w:val="multilevel"/>
    <w:tmpl w:val="557C2AF5"/>
    <w:lvl w:ilvl="0" w:tentative="0">
      <w:start w:val="1"/>
      <w:numFmt w:val="decimal"/>
      <w:pStyle w:val="6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5603797C"/>
    <w:multiLevelType w:val="multilevel"/>
    <w:tmpl w:val="5603797C"/>
    <w:lvl w:ilvl="0" w:tentative="0">
      <w:start w:val="1"/>
      <w:numFmt w:val="upperLetter"/>
      <w:pStyle w:val="84"/>
      <w:suff w:val="space"/>
      <w:lvlText w:val="%1"/>
      <w:lvlJc w:val="left"/>
      <w:pPr>
        <w:ind w:left="425" w:hanging="425"/>
      </w:pPr>
      <w:rPr>
        <w:rFonts w:hint="eastAsia"/>
      </w:rPr>
    </w:lvl>
    <w:lvl w:ilvl="1" w:tentative="0">
      <w:start w:val="1"/>
      <w:numFmt w:val="decimal"/>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657D3FBC"/>
    <w:multiLevelType w:val="multilevel"/>
    <w:tmpl w:val="657D3FBC"/>
    <w:lvl w:ilvl="0" w:tentative="0">
      <w:start w:val="1"/>
      <w:numFmt w:val="upperLetter"/>
      <w:pStyle w:val="85"/>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CEA2025"/>
    <w:multiLevelType w:val="multilevel"/>
    <w:tmpl w:val="6CEA2025"/>
    <w:lvl w:ilvl="0" w:tentative="0">
      <w:start w:val="1"/>
      <w:numFmt w:val="none"/>
      <w:pStyle w:val="68"/>
      <w:suff w:val="nothing"/>
      <w:lvlText w:val="%1"/>
      <w:lvlJc w:val="left"/>
      <w:pPr>
        <w:ind w:left="0" w:firstLine="0"/>
      </w:pPr>
      <w:rPr>
        <w:rFonts w:hint="eastAsia"/>
      </w:rPr>
    </w:lvl>
    <w:lvl w:ilvl="1" w:tentative="0">
      <w:start w:val="1"/>
      <w:numFmt w:val="decimal"/>
      <w:pStyle w:val="62"/>
      <w:suff w:val="nothing"/>
      <w:lvlText w:val="%1%2　"/>
      <w:lvlJc w:val="left"/>
      <w:pPr>
        <w:ind w:left="0" w:firstLine="0"/>
      </w:pPr>
      <w:rPr>
        <w:rFonts w:hint="eastAsia" w:ascii="黑体" w:eastAsia="黑体"/>
        <w:b w:val="0"/>
        <w:i w:val="0"/>
        <w:sz w:val="21"/>
      </w:rPr>
    </w:lvl>
    <w:lvl w:ilvl="2" w:tentative="0">
      <w:start w:val="1"/>
      <w:numFmt w:val="decimal"/>
      <w:pStyle w:val="63"/>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56"/>
      <w:suff w:val="nothing"/>
      <w:lvlText w:val="%1%2.%3.%4　"/>
      <w:lvlJc w:val="left"/>
      <w:pPr>
        <w:ind w:left="0" w:firstLine="0"/>
      </w:pPr>
      <w:rPr>
        <w:rFonts w:hint="eastAsia" w:ascii="黑体" w:eastAsia="黑体"/>
        <w:b w:val="0"/>
        <w:i w:val="0"/>
        <w:sz w:val="21"/>
      </w:rPr>
    </w:lvl>
    <w:lvl w:ilvl="4" w:tentative="0">
      <w:start w:val="1"/>
      <w:numFmt w:val="decimal"/>
      <w:pStyle w:val="59"/>
      <w:suff w:val="nothing"/>
      <w:lvlText w:val="%1%2.%3.%4.%5　"/>
      <w:lvlJc w:val="left"/>
      <w:pPr>
        <w:ind w:left="0" w:firstLine="0"/>
      </w:pPr>
      <w:rPr>
        <w:rFonts w:hint="eastAsia" w:ascii="黑体" w:eastAsia="黑体"/>
        <w:b w:val="0"/>
        <w:i w:val="0"/>
        <w:sz w:val="21"/>
      </w:rPr>
    </w:lvl>
    <w:lvl w:ilvl="5" w:tentative="0">
      <w:start w:val="1"/>
      <w:numFmt w:val="decimal"/>
      <w:pStyle w:val="60"/>
      <w:suff w:val="nothing"/>
      <w:lvlText w:val="%1%2.%3.%4.%5.%6　"/>
      <w:lvlJc w:val="left"/>
      <w:pPr>
        <w:ind w:left="0" w:firstLine="0"/>
      </w:pPr>
      <w:rPr>
        <w:rFonts w:hint="eastAsia" w:ascii="黑体" w:eastAsia="黑体"/>
        <w:b w:val="0"/>
        <w:i w:val="0"/>
        <w:sz w:val="21"/>
      </w:rPr>
    </w:lvl>
    <w:lvl w:ilvl="6" w:tentative="0">
      <w:start w:val="1"/>
      <w:numFmt w:val="decimal"/>
      <w:pStyle w:val="61"/>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6DBF04F4"/>
    <w:multiLevelType w:val="multilevel"/>
    <w:tmpl w:val="6DBF04F4"/>
    <w:lvl w:ilvl="0" w:tentative="0">
      <w:start w:val="1"/>
      <w:numFmt w:val="none"/>
      <w:pStyle w:val="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7"/>
  </w:num>
  <w:num w:numId="2">
    <w:abstractNumId w:val="0"/>
  </w:num>
  <w:num w:numId="3">
    <w:abstractNumId w:val="2"/>
  </w:num>
  <w:num w:numId="4">
    <w:abstractNumId w:val="4"/>
  </w:num>
  <w:num w:numId="5">
    <w:abstractNumId w:val="1"/>
  </w:num>
  <w:num w:numId="6">
    <w:abstractNumId w:val="8"/>
  </w:num>
  <w:num w:numId="7">
    <w:abstractNumId w:val="3"/>
  </w:num>
  <w:num w:numId="8">
    <w:abstractNumId w:val="5"/>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BF7"/>
    <w:rsid w:val="000904EC"/>
    <w:rsid w:val="00191DF5"/>
    <w:rsid w:val="002860A6"/>
    <w:rsid w:val="002E12C1"/>
    <w:rsid w:val="004E55EC"/>
    <w:rsid w:val="004F2CE6"/>
    <w:rsid w:val="00505888"/>
    <w:rsid w:val="00552424"/>
    <w:rsid w:val="00661716"/>
    <w:rsid w:val="00731902"/>
    <w:rsid w:val="00731E12"/>
    <w:rsid w:val="00762F10"/>
    <w:rsid w:val="007A210B"/>
    <w:rsid w:val="007F6C6F"/>
    <w:rsid w:val="00866412"/>
    <w:rsid w:val="008841AF"/>
    <w:rsid w:val="008A6954"/>
    <w:rsid w:val="008C03D2"/>
    <w:rsid w:val="009735D0"/>
    <w:rsid w:val="00A34E42"/>
    <w:rsid w:val="00A641AA"/>
    <w:rsid w:val="00AB6E91"/>
    <w:rsid w:val="00B40FB0"/>
    <w:rsid w:val="00C27D83"/>
    <w:rsid w:val="00C91D23"/>
    <w:rsid w:val="00CB2BF7"/>
    <w:rsid w:val="00CF14BE"/>
    <w:rsid w:val="00D16334"/>
    <w:rsid w:val="00D33A07"/>
    <w:rsid w:val="00DB0FC8"/>
    <w:rsid w:val="00DC1872"/>
    <w:rsid w:val="00DD6450"/>
    <w:rsid w:val="00E8610C"/>
    <w:rsid w:val="00EF4D32"/>
    <w:rsid w:val="00F01D83"/>
    <w:rsid w:val="00F321A7"/>
    <w:rsid w:val="00F601BE"/>
    <w:rsid w:val="00FA010A"/>
    <w:rsid w:val="02251150"/>
    <w:rsid w:val="02A8425B"/>
    <w:rsid w:val="02FA25DD"/>
    <w:rsid w:val="036C0B24"/>
    <w:rsid w:val="03795BF7"/>
    <w:rsid w:val="04A32623"/>
    <w:rsid w:val="06AD62E4"/>
    <w:rsid w:val="06B331CE"/>
    <w:rsid w:val="07E04497"/>
    <w:rsid w:val="0B397091"/>
    <w:rsid w:val="0BA81BAD"/>
    <w:rsid w:val="0C06475C"/>
    <w:rsid w:val="0D3F756A"/>
    <w:rsid w:val="0DAA3D04"/>
    <w:rsid w:val="0DE87C01"/>
    <w:rsid w:val="0E46562E"/>
    <w:rsid w:val="0ECA7307"/>
    <w:rsid w:val="0F1B7B63"/>
    <w:rsid w:val="0F924287"/>
    <w:rsid w:val="1151658F"/>
    <w:rsid w:val="13D13A74"/>
    <w:rsid w:val="171C6B6E"/>
    <w:rsid w:val="181D0DEF"/>
    <w:rsid w:val="18D56FD4"/>
    <w:rsid w:val="19C332D1"/>
    <w:rsid w:val="19F93196"/>
    <w:rsid w:val="1A682661"/>
    <w:rsid w:val="1ACE5888"/>
    <w:rsid w:val="1B26620D"/>
    <w:rsid w:val="1B893D74"/>
    <w:rsid w:val="1C47643B"/>
    <w:rsid w:val="1E48649A"/>
    <w:rsid w:val="1EBF49AE"/>
    <w:rsid w:val="1EFF2F91"/>
    <w:rsid w:val="21D06ED2"/>
    <w:rsid w:val="21DF17AC"/>
    <w:rsid w:val="223109A8"/>
    <w:rsid w:val="22916662"/>
    <w:rsid w:val="23045086"/>
    <w:rsid w:val="239D1036"/>
    <w:rsid w:val="25C92E20"/>
    <w:rsid w:val="26647BE9"/>
    <w:rsid w:val="26C07516"/>
    <w:rsid w:val="289C366A"/>
    <w:rsid w:val="29954C89"/>
    <w:rsid w:val="2B715282"/>
    <w:rsid w:val="2D960FD0"/>
    <w:rsid w:val="2D99286E"/>
    <w:rsid w:val="2DA134D1"/>
    <w:rsid w:val="2DA90D03"/>
    <w:rsid w:val="2DD613CD"/>
    <w:rsid w:val="2E516CA5"/>
    <w:rsid w:val="2F340AA1"/>
    <w:rsid w:val="2F963509"/>
    <w:rsid w:val="301C48FC"/>
    <w:rsid w:val="304F36B8"/>
    <w:rsid w:val="31C44277"/>
    <w:rsid w:val="31CA749A"/>
    <w:rsid w:val="32290665"/>
    <w:rsid w:val="334E5EA9"/>
    <w:rsid w:val="33C06DA7"/>
    <w:rsid w:val="35F40F8A"/>
    <w:rsid w:val="360016DD"/>
    <w:rsid w:val="36533F02"/>
    <w:rsid w:val="36E0150E"/>
    <w:rsid w:val="38B44A00"/>
    <w:rsid w:val="38EC7F72"/>
    <w:rsid w:val="39290686"/>
    <w:rsid w:val="3A377697"/>
    <w:rsid w:val="3BE13D5E"/>
    <w:rsid w:val="3C2D281F"/>
    <w:rsid w:val="3C5C1637"/>
    <w:rsid w:val="3D734E8A"/>
    <w:rsid w:val="3E3C1720"/>
    <w:rsid w:val="3EC82FB3"/>
    <w:rsid w:val="3EDE27D7"/>
    <w:rsid w:val="3FC84615"/>
    <w:rsid w:val="3FFC1167"/>
    <w:rsid w:val="40384169"/>
    <w:rsid w:val="40703903"/>
    <w:rsid w:val="40DA73F3"/>
    <w:rsid w:val="41365509"/>
    <w:rsid w:val="43370708"/>
    <w:rsid w:val="433C7ACC"/>
    <w:rsid w:val="43A044FF"/>
    <w:rsid w:val="43C82060"/>
    <w:rsid w:val="45372C41"/>
    <w:rsid w:val="4A357A0A"/>
    <w:rsid w:val="4B9F639D"/>
    <w:rsid w:val="4C9B3AB5"/>
    <w:rsid w:val="4CAA019C"/>
    <w:rsid w:val="4CD17A13"/>
    <w:rsid w:val="4E437F61"/>
    <w:rsid w:val="4EFA0F67"/>
    <w:rsid w:val="4F136E54"/>
    <w:rsid w:val="4F616EB4"/>
    <w:rsid w:val="51025EB1"/>
    <w:rsid w:val="53052C33"/>
    <w:rsid w:val="53CC09F8"/>
    <w:rsid w:val="57D4431F"/>
    <w:rsid w:val="5980650D"/>
    <w:rsid w:val="5B131A85"/>
    <w:rsid w:val="5C867052"/>
    <w:rsid w:val="5E2356B9"/>
    <w:rsid w:val="5F100333"/>
    <w:rsid w:val="61D03DA9"/>
    <w:rsid w:val="62D13935"/>
    <w:rsid w:val="62D81168"/>
    <w:rsid w:val="63840C1D"/>
    <w:rsid w:val="666511CC"/>
    <w:rsid w:val="66FE3167"/>
    <w:rsid w:val="676C1E7F"/>
    <w:rsid w:val="67E265E5"/>
    <w:rsid w:val="680B78E9"/>
    <w:rsid w:val="684828EC"/>
    <w:rsid w:val="688558EE"/>
    <w:rsid w:val="693743DE"/>
    <w:rsid w:val="695157D0"/>
    <w:rsid w:val="69DB133C"/>
    <w:rsid w:val="6A955B90"/>
    <w:rsid w:val="6BBB5183"/>
    <w:rsid w:val="6BC05C0B"/>
    <w:rsid w:val="6BFD7869"/>
    <w:rsid w:val="6E6E0BD2"/>
    <w:rsid w:val="6E950EC0"/>
    <w:rsid w:val="6FB6638D"/>
    <w:rsid w:val="70CE3BAA"/>
    <w:rsid w:val="743E3159"/>
    <w:rsid w:val="7499002B"/>
    <w:rsid w:val="74F00593"/>
    <w:rsid w:val="765F4995"/>
    <w:rsid w:val="766027E3"/>
    <w:rsid w:val="78917997"/>
    <w:rsid w:val="7AAE13D1"/>
    <w:rsid w:val="7C611D76"/>
    <w:rsid w:val="7C8141C6"/>
    <w:rsid w:val="7E7044F2"/>
    <w:rsid w:val="7F021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3"/>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4"/>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5"/>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6"/>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7"/>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8"/>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9"/>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0"/>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toc 3"/>
    <w:basedOn w:val="1"/>
    <w:next w:val="1"/>
    <w:autoRedefine/>
    <w:unhideWhenUsed/>
    <w:qFormat/>
    <w:uiPriority w:val="39"/>
    <w:pPr>
      <w:ind w:left="840" w:leftChars="400"/>
    </w:pPr>
  </w:style>
  <w:style w:type="paragraph" w:styleId="12">
    <w:name w:val="footer"/>
    <w:basedOn w:val="1"/>
    <w:link w:val="41"/>
    <w:unhideWhenUsed/>
    <w:qFormat/>
    <w:uiPriority w:val="99"/>
    <w:pPr>
      <w:tabs>
        <w:tab w:val="center" w:pos="4153"/>
        <w:tab w:val="right" w:pos="8306"/>
      </w:tabs>
      <w:snapToGrid w:val="0"/>
      <w:jc w:val="left"/>
    </w:pPr>
    <w:rPr>
      <w:sz w:val="18"/>
      <w:szCs w:val="18"/>
    </w:rPr>
  </w:style>
  <w:style w:type="paragraph" w:styleId="13">
    <w:name w:val="header"/>
    <w:basedOn w:val="1"/>
    <w:link w:val="40"/>
    <w:unhideWhenUsed/>
    <w:qFormat/>
    <w:uiPriority w:val="99"/>
    <w:pPr>
      <w:tabs>
        <w:tab w:val="center" w:pos="4153"/>
        <w:tab w:val="right" w:pos="8306"/>
      </w:tabs>
      <w:snapToGrid w:val="0"/>
      <w:jc w:val="center"/>
    </w:pPr>
    <w:rPr>
      <w:sz w:val="18"/>
      <w:szCs w:val="18"/>
    </w:rPr>
  </w:style>
  <w:style w:type="paragraph" w:styleId="14">
    <w:name w:val="toc 1"/>
    <w:basedOn w:val="1"/>
    <w:next w:val="1"/>
    <w:qFormat/>
    <w:uiPriority w:val="39"/>
    <w:pPr>
      <w:widowControl/>
      <w:tabs>
        <w:tab w:val="right" w:leader="dot" w:pos="9345"/>
      </w:tabs>
      <w:adjustRightInd w:val="0"/>
      <w:spacing w:line="309" w:lineRule="atLeast"/>
    </w:pPr>
  </w:style>
  <w:style w:type="paragraph" w:styleId="15">
    <w:name w:val="Subtitle"/>
    <w:basedOn w:val="1"/>
    <w:next w:val="1"/>
    <w:link w:val="32"/>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toc 2"/>
    <w:basedOn w:val="1"/>
    <w:next w:val="1"/>
    <w:autoRedefine/>
    <w:unhideWhenUsed/>
    <w:qFormat/>
    <w:uiPriority w:val="39"/>
    <w:pPr>
      <w:ind w:left="420" w:leftChars="200"/>
    </w:pPr>
  </w:style>
  <w:style w:type="paragraph" w:styleId="17">
    <w:name w:val="Title"/>
    <w:basedOn w:val="1"/>
    <w:next w:val="1"/>
    <w:link w:val="31"/>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qFormat/>
    <w:uiPriority w:val="99"/>
    <w:rPr>
      <w:rFonts w:ascii="宋体" w:hAnsi="Times New Roman" w:eastAsia="宋体"/>
      <w:color w:val="auto"/>
      <w:spacing w:val="0"/>
      <w:w w:val="100"/>
      <w:position w:val="0"/>
      <w:sz w:val="21"/>
      <w:u w:val="none"/>
      <w:vertAlign w:val="baseline"/>
    </w:rPr>
  </w:style>
  <w:style w:type="character" w:customStyle="1" w:styleId="22">
    <w:name w:val="标题 1 字符"/>
    <w:basedOn w:val="20"/>
    <w:link w:val="2"/>
    <w:qFormat/>
    <w:uiPriority w:val="9"/>
    <w:rPr>
      <w:rFonts w:asciiTheme="majorHAnsi" w:hAnsiTheme="majorHAnsi" w:eastAsiaTheme="majorEastAsia" w:cstheme="majorBidi"/>
      <w:color w:val="104862" w:themeColor="accent1" w:themeShade="BF"/>
      <w:sz w:val="48"/>
      <w:szCs w:val="48"/>
    </w:rPr>
  </w:style>
  <w:style w:type="character" w:customStyle="1" w:styleId="23">
    <w:name w:val="标题 2 字符"/>
    <w:basedOn w:val="20"/>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4">
    <w:name w:val="标题 3 字符"/>
    <w:basedOn w:val="20"/>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5">
    <w:name w:val="标题 4 字符"/>
    <w:basedOn w:val="20"/>
    <w:link w:val="5"/>
    <w:semiHidden/>
    <w:qFormat/>
    <w:uiPriority w:val="9"/>
    <w:rPr>
      <w:rFonts w:cstheme="majorBidi"/>
      <w:color w:val="104862" w:themeColor="accent1" w:themeShade="BF"/>
      <w:sz w:val="28"/>
      <w:szCs w:val="28"/>
    </w:rPr>
  </w:style>
  <w:style w:type="character" w:customStyle="1" w:styleId="26">
    <w:name w:val="标题 5 字符"/>
    <w:basedOn w:val="20"/>
    <w:link w:val="6"/>
    <w:semiHidden/>
    <w:qFormat/>
    <w:uiPriority w:val="9"/>
    <w:rPr>
      <w:rFonts w:cstheme="majorBidi"/>
      <w:color w:val="104862" w:themeColor="accent1" w:themeShade="BF"/>
      <w:sz w:val="24"/>
      <w:szCs w:val="24"/>
    </w:rPr>
  </w:style>
  <w:style w:type="character" w:customStyle="1" w:styleId="27">
    <w:name w:val="标题 6 字符"/>
    <w:basedOn w:val="20"/>
    <w:link w:val="7"/>
    <w:semiHidden/>
    <w:qFormat/>
    <w:uiPriority w:val="9"/>
    <w:rPr>
      <w:rFonts w:cstheme="majorBidi"/>
      <w:b/>
      <w:bCs/>
      <w:color w:val="104862" w:themeColor="accent1" w:themeShade="BF"/>
    </w:rPr>
  </w:style>
  <w:style w:type="character" w:customStyle="1" w:styleId="28">
    <w:name w:val="标题 7 字符"/>
    <w:basedOn w:val="20"/>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9">
    <w:name w:val="标题 8 字符"/>
    <w:basedOn w:val="20"/>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0">
    <w:name w:val="标题 9 字符"/>
    <w:basedOn w:val="20"/>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1">
    <w:name w:val="标题 字符"/>
    <w:basedOn w:val="20"/>
    <w:link w:val="17"/>
    <w:qFormat/>
    <w:uiPriority w:val="10"/>
    <w:rPr>
      <w:rFonts w:asciiTheme="majorHAnsi" w:hAnsiTheme="majorHAnsi" w:eastAsiaTheme="majorEastAsia" w:cstheme="majorBidi"/>
      <w:spacing w:val="-10"/>
      <w:kern w:val="28"/>
      <w:sz w:val="56"/>
      <w:szCs w:val="56"/>
    </w:rPr>
  </w:style>
  <w:style w:type="character" w:customStyle="1" w:styleId="32">
    <w:name w:val="副标题 字符"/>
    <w:basedOn w:val="20"/>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3">
    <w:name w:val="Quote"/>
    <w:basedOn w:val="1"/>
    <w:next w:val="1"/>
    <w:link w:val="34"/>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4">
    <w:name w:val="引用 字符"/>
    <w:basedOn w:val="20"/>
    <w:link w:val="33"/>
    <w:qFormat/>
    <w:uiPriority w:val="29"/>
    <w:rPr>
      <w:i/>
      <w:iCs/>
      <w:color w:val="404040" w:themeColor="text1" w:themeTint="BF"/>
      <w14:textFill>
        <w14:solidFill>
          <w14:schemeClr w14:val="tx1">
            <w14:lumMod w14:val="75000"/>
            <w14:lumOff w14:val="25000"/>
          </w14:schemeClr>
        </w14:solidFill>
      </w14:textFill>
    </w:rPr>
  </w:style>
  <w:style w:type="paragraph" w:styleId="35">
    <w:name w:val="List Paragraph"/>
    <w:basedOn w:val="1"/>
    <w:qFormat/>
    <w:uiPriority w:val="34"/>
    <w:pPr>
      <w:ind w:left="720"/>
      <w:contextualSpacing/>
    </w:pPr>
  </w:style>
  <w:style w:type="character" w:customStyle="1" w:styleId="36">
    <w:name w:val="明显强调1"/>
    <w:basedOn w:val="20"/>
    <w:qFormat/>
    <w:uiPriority w:val="21"/>
    <w:rPr>
      <w:i/>
      <w:iCs/>
      <w:color w:val="104862" w:themeColor="accent1" w:themeShade="BF"/>
    </w:rPr>
  </w:style>
  <w:style w:type="paragraph" w:styleId="37">
    <w:name w:val="Intense Quote"/>
    <w:basedOn w:val="1"/>
    <w:next w:val="1"/>
    <w:link w:val="38"/>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8">
    <w:name w:val="明显引用 字符"/>
    <w:basedOn w:val="20"/>
    <w:link w:val="37"/>
    <w:qFormat/>
    <w:uiPriority w:val="30"/>
    <w:rPr>
      <w:i/>
      <w:iCs/>
      <w:color w:val="104862" w:themeColor="accent1" w:themeShade="BF"/>
    </w:rPr>
  </w:style>
  <w:style w:type="character" w:customStyle="1" w:styleId="39">
    <w:name w:val="明显参考1"/>
    <w:basedOn w:val="20"/>
    <w:qFormat/>
    <w:uiPriority w:val="32"/>
    <w:rPr>
      <w:b/>
      <w:bCs/>
      <w:smallCaps/>
      <w:color w:val="104862" w:themeColor="accent1" w:themeShade="BF"/>
      <w:spacing w:val="5"/>
    </w:rPr>
  </w:style>
  <w:style w:type="character" w:customStyle="1" w:styleId="40">
    <w:name w:val="页眉 字符"/>
    <w:basedOn w:val="20"/>
    <w:link w:val="13"/>
    <w:qFormat/>
    <w:uiPriority w:val="99"/>
    <w:rPr>
      <w:sz w:val="18"/>
      <w:szCs w:val="18"/>
    </w:rPr>
  </w:style>
  <w:style w:type="character" w:customStyle="1" w:styleId="41">
    <w:name w:val="页脚 字符"/>
    <w:basedOn w:val="20"/>
    <w:link w:val="12"/>
    <w:qFormat/>
    <w:uiPriority w:val="99"/>
    <w:rPr>
      <w:sz w:val="18"/>
      <w:szCs w:val="18"/>
    </w:rPr>
  </w:style>
  <w:style w:type="character" w:customStyle="1" w:styleId="42">
    <w:name w:val="页脚 字符1"/>
    <w:qFormat/>
    <w:uiPriority w:val="99"/>
    <w:rPr>
      <w:kern w:val="2"/>
      <w:sz w:val="18"/>
      <w:szCs w:val="18"/>
    </w:rPr>
  </w:style>
  <w:style w:type="character" w:customStyle="1" w:styleId="43">
    <w:name w:val="页眉 字符1"/>
    <w:qFormat/>
    <w:uiPriority w:val="0"/>
    <w:rPr>
      <w:kern w:val="2"/>
      <w:sz w:val="18"/>
      <w:szCs w:val="18"/>
    </w:rPr>
  </w:style>
  <w:style w:type="paragraph" w:customStyle="1" w:styleId="4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4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4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4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48">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49">
    <w:name w:val="实施日期"/>
    <w:basedOn w:val="48"/>
    <w:qFormat/>
    <w:uiPriority w:val="0"/>
    <w:pPr>
      <w:framePr w:hSpace="0" w:wrap="around" w:xAlign="right"/>
      <w:jc w:val="right"/>
    </w:pPr>
  </w:style>
  <w:style w:type="paragraph" w:customStyle="1" w:styleId="50">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1">
    <w:name w:val="发布部门"/>
    <w:next w:val="1"/>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52">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文件_段"/>
    <w:link w:val="7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56">
    <w:name w:val="标准文件_二级条标题"/>
    <w:next w:val="54"/>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57">
    <w:name w:val="标准文件_前言、引言标题"/>
    <w:next w:val="1"/>
    <w:qFormat/>
    <w:uiPriority w:val="0"/>
    <w:pPr>
      <w:numPr>
        <w:ilvl w:val="0"/>
        <w:numId w:val="2"/>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58">
    <w:name w:val="标准文件_目录标题"/>
    <w:basedOn w:val="1"/>
    <w:qFormat/>
    <w:uiPriority w:val="0"/>
    <w:pPr>
      <w:adjustRightInd w:val="0"/>
      <w:spacing w:before="480" w:after="150" w:afterLines="150"/>
      <w:jc w:val="center"/>
    </w:pPr>
    <w:rPr>
      <w:rFonts w:ascii="黑体" w:hAnsi="Calibri" w:eastAsia="黑体"/>
      <w:sz w:val="32"/>
      <w:szCs w:val="21"/>
    </w:rPr>
  </w:style>
  <w:style w:type="paragraph" w:customStyle="1" w:styleId="59">
    <w:name w:val="标准文件_三级条标题"/>
    <w:basedOn w:val="56"/>
    <w:next w:val="54"/>
    <w:qFormat/>
    <w:uiPriority w:val="0"/>
    <w:pPr>
      <w:widowControl/>
      <w:numPr>
        <w:ilvl w:val="4"/>
      </w:numPr>
      <w:outlineLvl w:val="3"/>
    </w:pPr>
  </w:style>
  <w:style w:type="paragraph" w:customStyle="1" w:styleId="60">
    <w:name w:val="标准文件_四级条标题"/>
    <w:next w:val="54"/>
    <w:qFormat/>
    <w:uiPriority w:val="0"/>
    <w:pPr>
      <w:widowControl w:val="0"/>
      <w:numPr>
        <w:ilvl w:val="5"/>
        <w:numId w:val="1"/>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61">
    <w:name w:val="标准文件_五级条标题"/>
    <w:next w:val="54"/>
    <w:qFormat/>
    <w:uiPriority w:val="0"/>
    <w:pPr>
      <w:widowControl w:val="0"/>
      <w:numPr>
        <w:ilvl w:val="6"/>
        <w:numId w:val="1"/>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62">
    <w:name w:val="标准文件_章标题"/>
    <w:next w:val="54"/>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63">
    <w:name w:val="标准文件_一级条标题"/>
    <w:basedOn w:val="62"/>
    <w:next w:val="54"/>
    <w:qFormat/>
    <w:uiPriority w:val="0"/>
    <w:pPr>
      <w:numPr>
        <w:ilvl w:val="2"/>
      </w:numPr>
      <w:spacing w:before="50" w:beforeLines="50" w:after="50" w:afterLines="50"/>
      <w:outlineLvl w:val="1"/>
    </w:pPr>
  </w:style>
  <w:style w:type="paragraph" w:customStyle="1" w:styleId="64">
    <w:name w:val="标准文件_数字编号列项（二级）"/>
    <w:qFormat/>
    <w:uiPriority w:val="0"/>
    <w:pPr>
      <w:numPr>
        <w:ilvl w:val="1"/>
        <w:numId w:val="3"/>
      </w:numPr>
      <w:tabs>
        <w:tab w:val="left" w:pos="851"/>
      </w:tabs>
      <w:jc w:val="both"/>
    </w:pPr>
    <w:rPr>
      <w:rFonts w:ascii="宋体" w:hAnsi="Times New Roman" w:eastAsia="宋体" w:cs="Times New Roman"/>
      <w:sz w:val="21"/>
      <w:lang w:val="en-US" w:eastAsia="zh-CN" w:bidi="ar-SA"/>
    </w:rPr>
  </w:style>
  <w:style w:type="paragraph" w:customStyle="1" w:styleId="65">
    <w:name w:val="标准文件_正文图标题"/>
    <w:next w:val="54"/>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66">
    <w:name w:val="标准文件_编号列项（三级）"/>
    <w:qFormat/>
    <w:uiPriority w:val="0"/>
    <w:pPr>
      <w:numPr>
        <w:ilvl w:val="2"/>
        <w:numId w:val="3"/>
      </w:numPr>
      <w:tabs>
        <w:tab w:val="left" w:pos="851"/>
      </w:tabs>
    </w:pPr>
    <w:rPr>
      <w:rFonts w:ascii="宋体" w:hAnsi="Times New Roman" w:eastAsia="宋体" w:cs="Times New Roman"/>
      <w:sz w:val="21"/>
      <w:lang w:val="en-US" w:eastAsia="zh-CN" w:bidi="ar-SA"/>
    </w:rPr>
  </w:style>
  <w:style w:type="paragraph" w:customStyle="1" w:styleId="67">
    <w:name w:val="标准文件_一级项"/>
    <w:qFormat/>
    <w:uiPriority w:val="0"/>
    <w:pPr>
      <w:numPr>
        <w:ilvl w:val="0"/>
        <w:numId w:val="5"/>
      </w:numPr>
    </w:pPr>
    <w:rPr>
      <w:rFonts w:ascii="宋体" w:hAnsi="Times New Roman" w:eastAsia="宋体" w:cs="Times New Roman"/>
      <w:sz w:val="21"/>
      <w:lang w:val="en-US" w:eastAsia="zh-CN" w:bidi="ar-SA"/>
    </w:rPr>
  </w:style>
  <w:style w:type="paragraph" w:customStyle="1" w:styleId="68">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69">
    <w:name w:val="标准文件_三级项"/>
    <w:basedOn w:val="1"/>
    <w:qFormat/>
    <w:uiPriority w:val="0"/>
    <w:pPr>
      <w:numPr>
        <w:ilvl w:val="2"/>
        <w:numId w:val="5"/>
      </w:numPr>
      <w:adjustRightInd w:val="0"/>
      <w:spacing w:line="536870612" w:lineRule="auto"/>
    </w:pPr>
    <w:rPr>
      <w:szCs w:val="21"/>
    </w:rPr>
  </w:style>
  <w:style w:type="paragraph" w:customStyle="1" w:styleId="70">
    <w:name w:val="标准文件_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7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character" w:customStyle="1" w:styleId="72">
    <w:name w:val="标准文件_段 Char"/>
    <w:link w:val="54"/>
    <w:qFormat/>
    <w:uiPriority w:val="0"/>
    <w:rPr>
      <w:rFonts w:ascii="宋体" w:hAnsi="Times New Roman" w:eastAsia="宋体" w:cs="Times New Roman"/>
      <w:kern w:val="0"/>
      <w:szCs w:val="20"/>
      <w14:ligatures w14:val="none"/>
    </w:rPr>
  </w:style>
  <w:style w:type="paragraph" w:customStyle="1" w:styleId="73">
    <w:name w:val="标准文件_二级项2"/>
    <w:basedOn w:val="54"/>
    <w:qFormat/>
    <w:uiPriority w:val="0"/>
    <w:pPr>
      <w:numPr>
        <w:ilvl w:val="1"/>
        <w:numId w:val="5"/>
      </w:numPr>
      <w:tabs>
        <w:tab w:val="left" w:pos="360"/>
      </w:tabs>
      <w:ind w:left="0" w:firstLine="0" w:firstLineChars="0"/>
    </w:pPr>
  </w:style>
  <w:style w:type="paragraph" w:customStyle="1" w:styleId="74">
    <w:name w:val="标准文件_引言一级条标题"/>
    <w:basedOn w:val="54"/>
    <w:next w:val="54"/>
    <w:qFormat/>
    <w:uiPriority w:val="0"/>
    <w:pPr>
      <w:numPr>
        <w:ilvl w:val="1"/>
        <w:numId w:val="2"/>
      </w:numPr>
      <w:tabs>
        <w:tab w:val="left" w:pos="360"/>
      </w:tabs>
      <w:spacing w:before="50" w:beforeLines="50" w:after="50" w:afterLines="50"/>
      <w:ind w:firstLine="200" w:firstLineChars="0"/>
    </w:pPr>
    <w:rPr>
      <w:rFonts w:ascii="黑体" w:eastAsia="黑体"/>
    </w:rPr>
  </w:style>
  <w:style w:type="paragraph" w:customStyle="1" w:styleId="75">
    <w:name w:val="标准文件_引言二级条标题"/>
    <w:basedOn w:val="54"/>
    <w:next w:val="54"/>
    <w:qFormat/>
    <w:uiPriority w:val="0"/>
    <w:pPr>
      <w:tabs>
        <w:tab w:val="left" w:pos="360"/>
      </w:tabs>
      <w:spacing w:before="50" w:beforeLines="50" w:after="50" w:afterLines="50"/>
      <w:ind w:firstLineChars="0"/>
    </w:pPr>
    <w:rPr>
      <w:rFonts w:ascii="黑体" w:eastAsia="黑体"/>
    </w:rPr>
  </w:style>
  <w:style w:type="paragraph" w:customStyle="1" w:styleId="76">
    <w:name w:val="标准文件_引言三级条标题"/>
    <w:basedOn w:val="54"/>
    <w:next w:val="54"/>
    <w:qFormat/>
    <w:uiPriority w:val="0"/>
    <w:pPr>
      <w:numPr>
        <w:ilvl w:val="3"/>
        <w:numId w:val="2"/>
      </w:numPr>
      <w:tabs>
        <w:tab w:val="left" w:pos="360"/>
      </w:tabs>
      <w:spacing w:before="50" w:beforeLines="50" w:after="50" w:afterLines="50"/>
      <w:ind w:firstLine="200" w:firstLineChars="0"/>
    </w:pPr>
    <w:rPr>
      <w:rFonts w:ascii="黑体" w:eastAsia="黑体"/>
    </w:rPr>
  </w:style>
  <w:style w:type="paragraph" w:customStyle="1" w:styleId="77">
    <w:name w:val="标准文件_引言四级条标题"/>
    <w:basedOn w:val="54"/>
    <w:next w:val="54"/>
    <w:qFormat/>
    <w:uiPriority w:val="0"/>
    <w:pPr>
      <w:numPr>
        <w:ilvl w:val="4"/>
        <w:numId w:val="2"/>
      </w:numPr>
      <w:tabs>
        <w:tab w:val="left" w:pos="360"/>
      </w:tabs>
      <w:spacing w:before="50" w:beforeLines="50" w:after="50" w:afterLines="50"/>
      <w:ind w:firstLine="200" w:firstLineChars="0"/>
    </w:pPr>
    <w:rPr>
      <w:rFonts w:ascii="黑体" w:eastAsia="黑体"/>
    </w:rPr>
  </w:style>
  <w:style w:type="paragraph" w:customStyle="1" w:styleId="78">
    <w:name w:val="标准文件_引言五级条标题"/>
    <w:basedOn w:val="54"/>
    <w:next w:val="54"/>
    <w:qFormat/>
    <w:uiPriority w:val="0"/>
    <w:pPr>
      <w:numPr>
        <w:ilvl w:val="5"/>
        <w:numId w:val="2"/>
      </w:numPr>
      <w:tabs>
        <w:tab w:val="left" w:pos="360"/>
      </w:tabs>
      <w:spacing w:before="50" w:beforeLines="50" w:after="50" w:afterLines="50"/>
      <w:ind w:firstLine="200" w:firstLineChars="0"/>
    </w:pPr>
    <w:rPr>
      <w:rFonts w:ascii="黑体" w:eastAsia="黑体"/>
    </w:rPr>
  </w:style>
  <w:style w:type="paragraph" w:customStyle="1" w:styleId="79">
    <w:name w:val="标准文件_术语条一"/>
    <w:basedOn w:val="80"/>
    <w:next w:val="54"/>
    <w:qFormat/>
    <w:uiPriority w:val="0"/>
    <w:pPr>
      <w:widowControl/>
      <w:numPr>
        <w:ilvl w:val="2"/>
        <w:numId w:val="2"/>
      </w:numPr>
    </w:pPr>
    <w:rPr>
      <w:rFonts w:ascii="宋体"/>
      <w:kern w:val="0"/>
      <w:szCs w:val="20"/>
    </w:rPr>
  </w:style>
  <w:style w:type="paragraph" w:customStyle="1" w:styleId="80">
    <w:name w:val="标准文件_一级无标题"/>
    <w:basedOn w:val="63"/>
    <w:qFormat/>
    <w:uiPriority w:val="0"/>
    <w:pPr>
      <w:spacing w:before="0" w:beforeLines="0" w:after="0" w:afterLines="0"/>
      <w:outlineLvl w:val="9"/>
    </w:pPr>
    <w:rPr>
      <w:rFonts w:ascii="宋体" w:eastAsia="宋体"/>
    </w:rPr>
  </w:style>
  <w:style w:type="paragraph" w:customStyle="1" w:styleId="81">
    <w:name w:val="段"/>
    <w:basedOn w:val="1"/>
    <w:qFormat/>
    <w:uiPriority w:val="0"/>
    <w:pPr>
      <w:widowControl/>
      <w:tabs>
        <w:tab w:val="center" w:pos="4201"/>
        <w:tab w:val="right" w:leader="dot" w:pos="9298"/>
      </w:tabs>
      <w:autoSpaceDE w:val="0"/>
      <w:autoSpaceDN w:val="0"/>
      <w:ind w:firstLine="420" w:firstLineChars="200"/>
    </w:pPr>
    <w:rPr>
      <w:rFonts w:ascii="宋体" w:hAnsi="宋体" w:cs="宋体"/>
      <w:kern w:val="0"/>
      <w:sz w:val="24"/>
    </w:rPr>
  </w:style>
  <w:style w:type="paragraph" w:customStyle="1" w:styleId="82">
    <w:name w:val="标准文件_注："/>
    <w:next w:val="54"/>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83">
    <w:name w:val="标准文件_附录图标号"/>
    <w:basedOn w:val="54"/>
    <w:next w:val="54"/>
    <w:qFormat/>
    <w:uiPriority w:val="0"/>
    <w:pPr>
      <w:numPr>
        <w:ilvl w:val="0"/>
        <w:numId w:val="7"/>
      </w:numPr>
      <w:spacing w:line="14" w:lineRule="exact"/>
      <w:ind w:firstLine="0" w:firstLineChars="0"/>
      <w:jc w:val="center"/>
    </w:pPr>
    <w:rPr>
      <w:rFonts w:ascii="黑体" w:hAnsi="黑体" w:eastAsia="黑体"/>
      <w:vanish/>
      <w:sz w:val="2"/>
      <w:szCs w:val="21"/>
    </w:rPr>
  </w:style>
  <w:style w:type="paragraph" w:customStyle="1" w:styleId="84">
    <w:name w:val="标准文件_附录表标号"/>
    <w:basedOn w:val="54"/>
    <w:next w:val="54"/>
    <w:qFormat/>
    <w:uiPriority w:val="0"/>
    <w:pPr>
      <w:numPr>
        <w:ilvl w:val="0"/>
        <w:numId w:val="8"/>
      </w:numPr>
      <w:spacing w:line="14" w:lineRule="exact"/>
      <w:ind w:firstLine="0" w:firstLineChars="0"/>
      <w:jc w:val="center"/>
    </w:pPr>
    <w:rPr>
      <w:rFonts w:eastAsia="黑体"/>
      <w:vanish/>
      <w:sz w:val="2"/>
    </w:rPr>
  </w:style>
  <w:style w:type="paragraph" w:customStyle="1" w:styleId="85">
    <w:name w:val="标准文件_附录标识"/>
    <w:next w:val="54"/>
    <w:qFormat/>
    <w:uiPriority w:val="0"/>
    <w:pPr>
      <w:numPr>
        <w:ilvl w:val="0"/>
        <w:numId w:val="9"/>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6">
    <w:name w:val="标准文件_表格"/>
    <w:basedOn w:val="54"/>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919d666-7bc4-47f9-80a8-b737947a60ab}"/>
        <w:style w:val=""/>
        <w:category>
          <w:name w:val="常规"/>
          <w:gallery w:val="placeholder"/>
        </w:category>
        <w:types>
          <w:type w:val="bbPlcHdr"/>
        </w:types>
        <w:behaviors>
          <w:behavior w:val="content"/>
        </w:behaviors>
        <w:description w:val=""/>
        <w:guid w:val="{0919d666-7bc4-47f9-80a8-b737947a60ab}"/>
      </w:docPartPr>
      <w:docPartBody>
        <w:p w14:paraId="0A97D739">
          <w:pPr>
            <w:pStyle w:val="8"/>
            <w:rPr>
              <w:rFonts w:hint="eastAsia"/>
            </w:rPr>
          </w:pPr>
          <w:r>
            <w:rPr>
              <w:rStyle w:val="4"/>
              <w:rFonts w:hint="eastAsia"/>
            </w:rPr>
            <w:t>单击或点击此处输入文字。</w:t>
          </w:r>
        </w:p>
      </w:docPartBody>
    </w:docPart>
    <w:docPart>
      <w:docPartPr>
        <w:name w:val="{da0c867c-a3ed-4e05-8e69-98e686e4b705}"/>
        <w:style w:val=""/>
        <w:category>
          <w:name w:val="常规"/>
          <w:gallery w:val="placeholder"/>
        </w:category>
        <w:types>
          <w:type w:val="bbPlcHdr"/>
        </w:types>
        <w:behaviors>
          <w:behavior w:val="content"/>
        </w:behaviors>
        <w:description w:val=""/>
        <w:guid w:val="{da0c867c-a3ed-4e05-8e69-98e686e4b705}"/>
      </w:docPartPr>
      <w:docPartBody>
        <w:p w14:paraId="230E5103">
          <w:pPr>
            <w:pStyle w:val="9"/>
            <w:rPr>
              <w:rFonts w:hint="eastAsia"/>
            </w:rPr>
          </w:pPr>
          <w:r>
            <w:rPr>
              <w:rStyle w:val="4"/>
              <w:rFonts w:hint="eastAsia"/>
            </w:rPr>
            <w:t>选择一项。</w:t>
          </w:r>
        </w:p>
      </w:docPartBody>
    </w:docPart>
    <w:docPart>
      <w:docPartPr>
        <w:name w:val="{4dab3dd6-1aac-41d0-bfe7-2007150b0d34}"/>
        <w:style w:val=""/>
        <w:category>
          <w:name w:val="常规"/>
          <w:gallery w:val="placeholder"/>
        </w:category>
        <w:types>
          <w:type w:val="bbPlcHdr"/>
        </w:types>
        <w:behaviors>
          <w:behavior w:val="content"/>
        </w:behaviors>
        <w:description w:val=""/>
        <w:guid w:val="{4dab3dd6-1aac-41d0-bfe7-2007150b0d34}"/>
      </w:docPartPr>
      <w:docPartBody>
        <w:p w14:paraId="03B3D479">
          <w:pPr>
            <w:pStyle w:val="10"/>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F07"/>
    <w:rsid w:val="001D0DDF"/>
    <w:rsid w:val="00412F07"/>
    <w:rsid w:val="00762F10"/>
    <w:rsid w:val="009735D0"/>
    <w:rsid w:val="00D80DDA"/>
    <w:rsid w:val="00D97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DA52E59D8D04EDFA04C2DBA4EBAC23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F649C7496AD14D678050FC65CE2252E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BD55F488FF294F8D9B1ECE605D3333D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8">
    <w:name w:val="6EFEFE0B99CE44A68C392AC38C3E296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9">
    <w:name w:val="4ED7D92F6DC44731967911ECEEAF920F"/>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10">
    <w:name w:val="217F3DB76EF64A16905E1121FEFE0FC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6349</Words>
  <Characters>7051</Characters>
  <Lines>64</Lines>
  <Paragraphs>18</Paragraphs>
  <TotalTime>0</TotalTime>
  <ScaleCrop>false</ScaleCrop>
  <LinksUpToDate>false</LinksUpToDate>
  <CharactersWithSpaces>7203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2025-09-08T01:30:00Z</dcterms:created>
  <dc:creator>YiXun Zhao</dc:creator>
  <cp:lastModifiedBy>xun</cp:lastModifiedBy>
  <dcterms:modified xsi:type="dcterms:W3CDTF">2026-05-21T05:19:21Z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eyJoZGlkIjoiYmE3NDI0ZmYwN2U5NDU4YTZmZDhhMDQ5YWE4NzQ4MDYiLCJ1c2VySWQiOiIxMzY2ODA0MTI4In0=</vt:lpwstr>
  </property>
  <property fmtid="{D5CDD505-2E9C-101B-9397-08002B2CF9AE}" pid="3" name="KSOProductBuildVer">
    <vt:lpwstr>2052-12.1.0.26375</vt:lpwstr>
  </property>
  <property fmtid="{D5CDD505-2E9C-101B-9397-08002B2CF9AE}" pid="4" name="ICV">
    <vt:lpwstr>631E82FD9B8C4D808BF0103235D93071_12</vt:lpwstr>
  </property>
</Properties>
</file>